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KL-Vårdportal</w:t>
      </w:r>
    </w:p>
    <w:p>
      <w:r>
        <w:rPr>
          <w:b w:val="0"/>
          <w:i w:val="0"/>
        </w:rPr>
        <w:t>Avtalsnummer: CTR-2024-014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20.10.2024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04.11.2024 – 31.03.2026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1 090,00 kr per timme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Kustlandets region (org.nr 232100-0321), Sundvik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KL-Vårdportal.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design, implementation och införande av den beskrivna lösningen enligt överenskommen tidplan, inklusive acceptanstest och driftsättning.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pPr>
        <w:pStyle w:val="Heading2"/>
      </w:pPr>
      <w:r>
        <w:t>4.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5.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6. Avtalstid och uppsägning</w:t>
      </w:r>
    </w:p>
    <w:p>
      <w:r>
        <w:rPr>
          <w:b w:val="0"/>
          <w:i w:val="0"/>
        </w:rPr>
        <w:t>Avtalet gäller från och med 04.11.2024 till och med 31.03.2026.</w:t>
      </w:r>
    </w:p>
    <w:p>
      <w:r>
        <w:rPr>
          <w:b w:val="0"/>
          <w:i w:val="0"/>
        </w:rPr>
        <w:t>Avtalet upphör vid avtalstidens utgång utan föregående uppsägning.</w:t>
      </w:r>
    </w:p>
    <w:p>
      <w:pPr>
        <w:pStyle w:val="Heading2"/>
      </w:pPr>
      <w:r>
        <w:t>7. Pris och betalning</w:t>
      </w:r>
    </w:p>
    <w:p>
      <w:r>
        <w:rPr>
          <w:b w:val="0"/>
          <w:i w:val="0"/>
        </w:rPr>
        <w:t>Timpris: 1 090,00 kr per timme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8. Ansvarsbegränsning</w:t>
      </w:r>
    </w:p>
    <w:p>
      <w:r>
        <w:rPr>
          <w:b w:val="0"/>
          <w:i w:val="0"/>
        </w:rPr>
        <w:t>Vardera partens sammanlagda skadeståndsansvar enligt detta avtal är begränsat till femton (15) prisbasbelopp.</w:t>
      </w:r>
    </w:p>
    <w:p>
      <w:pPr>
        <w:pStyle w:val="Heading2"/>
      </w:pPr>
      <w:r>
        <w:t>9.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10.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11.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12.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13.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14. Samarbetsformer</w:t>
      </w:r>
    </w:p>
    <w:p>
      <w:r>
        <w:rPr>
          <w:b w:val="0"/>
          <w:i w:val="0"/>
        </w:rPr>
        <w:t>Parterna ska utse varsin kontaktperson för avtalet. Statusmöten hålls löpande under avtalstiden för uppföljning av tidplan, leveranser och öppna frågor.</w:t>
      </w:r>
    </w:p>
    <w:p>
      <w:pPr>
        <w:pStyle w:val="Heading2"/>
      </w:pPr>
      <w:r>
        <w:t>15. Ändringshantering</w:t>
      </w:r>
    </w:p>
    <w:p>
      <w:r>
        <w:rPr>
          <w:b w:val="0"/>
          <w:i w:val="0"/>
        </w:rPr>
        <w:t>Ändringar av uppdragets omfattning, tidplan eller pris hanteras skriftligen som ändringsbegäran. En ändring träder i kraft först när båda parter skriftligen godkänt den.</w:t>
      </w:r>
    </w:p>
    <w:p>
      <w:pPr>
        <w:pStyle w:val="Heading2"/>
      </w:pPr>
      <w:r>
        <w:t>16. Allmänna bestämmelser</w:t>
      </w:r>
    </w:p>
    <w:p>
      <w:pPr>
        <w:pStyle w:val="Heading2"/>
      </w:pPr>
      <w:r>
        <w:t>16.1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16.2 Underkonsulter</w:t>
      </w:r>
    </w:p>
    <w:p>
      <w:r>
        <w:rPr>
          <w:b w:val="0"/>
          <w:i w:val="0"/>
        </w:rPr>
        <w:t>Leverantören har rätt att anlita underkonsulter för utförandet av tjänsterna. Leverantören svarar för underkonsulters arbete som för eget arbete.</w:t>
      </w:r>
    </w:p>
    <w:p>
      <w:pPr>
        <w:pStyle w:val="Heading2"/>
      </w:pPr>
      <w:r>
        <w:t>16.3 Försäkringar</w:t>
      </w:r>
    </w:p>
    <w:p>
      <w:r>
        <w:rPr>
          <w:b w:val="0"/>
          <w:i w:val="0"/>
        </w:rPr>
        <w:t>Vardera parten ska under avtalstiden inneha sedvanliga försäkringar för sin verksamhet.</w:t>
      </w:r>
    </w:p>
    <w:p>
      <w:pPr>
        <w:pStyle w:val="Heading2"/>
      </w:pPr>
      <w:r>
        <w:t>16.4 Personuppgifter</w:t>
      </w:r>
    </w:p>
    <w:p>
      <w:r>
        <w:rPr>
          <w:b w:val="0"/>
          <w:i w:val="0"/>
        </w:rPr>
        <w:t>Behandling av personuppgifter ska ske i enlighet med vid var tid tillämplig dataskyddslagstiftning och, i förekommande fall, särskilt personuppgiftsbiträdesavtal mellan parterna.</w:t>
      </w:r>
    </w:p>
    <w:p>
      <w:pPr>
        <w:pStyle w:val="Heading2"/>
      </w:pPr>
      <w:r>
        <w:t>16.5 Prioritet mellan handlingar</w:t>
      </w:r>
    </w:p>
    <w:p>
      <w:r>
        <w:rPr>
          <w:b w:val="0"/>
          <w:i w:val="0"/>
        </w:rPr>
        <w:t>Vid motstridighet mellan avtalets handlingar gäller de i följande ordning: detta avtal, därefter bilagorna i nummerordning.</w:t>
      </w:r>
    </w:p>
    <w:p>
      <w:pPr>
        <w:pStyle w:val="Heading2"/>
      </w:pPr>
      <w:r>
        <w:t>16.6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16.7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16.8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16.9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16.10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16.11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17.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Kustlandets region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Peter Sjödin</w:t>
              <w:br/>
              <w:br/>
              <w:br/>
              <w:br/>
              <w:t>Befattning: Digitaliseringschef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CTR-2024-014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