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SIN-2025-0139</w:t>
      </w:r>
    </w:p>
    <w:p>
      <w:r>
        <w:rPr>
          <w:b/>
        </w:rPr>
        <w:t xml:space="preserve">Fakturadatum: </w:t>
      </w:r>
      <w:r>
        <w:rPr>
          <w:b w:val="0"/>
        </w:rPr>
        <w:t>2025-04-15</w:t>
      </w:r>
    </w:p>
    <w:p>
      <w:r>
        <w:rPr>
          <w:b/>
        </w:rPr>
        <w:t xml:space="preserve">Förfallodatum: </w:t>
      </w:r>
      <w:r>
        <w:rPr>
          <w:b w:val="0"/>
        </w:rPr>
        <w:t>2025-05-15</w:t>
      </w:r>
    </w:p>
    <w:p>
      <w:r>
        <w:rPr>
          <w:b/>
        </w:rPr>
        <w:t xml:space="preserve">Avser: </w:t>
      </w:r>
      <w:r>
        <w:rPr>
          <w:b w:val="0"/>
        </w:rPr>
        <w:t>Arbetsrättstvist – utredning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Arbetsrättstvist – utredning</w:t>
            </w:r>
          </w:p>
        </w:tc>
        <w:tc>
          <w:tcPr>
            <w:tcW w:type="dxa" w:w="2160"/>
          </w:tcPr>
          <w:p>
            <w:r>
              <w:t>48 000,00</w:t>
            </w:r>
          </w:p>
        </w:tc>
        <w:tc>
          <w:tcPr>
            <w:tcW w:type="dxa" w:w="2160"/>
          </w:tcPr>
          <w:p>
            <w:r>
              <w:t>12 000,00</w:t>
            </w:r>
          </w:p>
        </w:tc>
        <w:tc>
          <w:tcPr>
            <w:tcW w:type="dxa" w:w="2160"/>
          </w:tcPr>
          <w:p>
            <w:r>
              <w:t>60 000,00</w:t>
            </w:r>
          </w:p>
        </w:tc>
      </w:tr>
    </w:tbl>
    <w:p>
      <w:pPr>
        <w:jc w:val="right"/>
      </w:pPr>
      <w:r>
        <w:rPr>
          <w:b/>
        </w:rPr>
        <w:t>ATT BETALA: 60 000,00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