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Ägardirektiv för Nordviken Digital AB</w:t>
      </w:r>
    </w:p>
    <w:p>
      <w:r>
        <w:rPr>
          <w:b/>
        </w:rPr>
        <w:t xml:space="preserve">Datum: </w:t>
      </w:r>
      <w:r>
        <w:rPr>
          <w:b w:val="0"/>
        </w:rPr>
        <w:t>Beslutat 2021-10-05</w:t>
      </w:r>
    </w:p>
    <w:p>
      <w:r>
        <w:rPr>
          <w:b/>
        </w:rPr>
        <w:t xml:space="preserve">Upprättad av: </w:t>
      </w:r>
      <w:r>
        <w:rPr>
          <w:b w:val="0"/>
        </w:rPr>
        <w:t>Eva Granlund, styrelseordförande</w:t>
      </w:r>
    </w:p>
    <w:p>
      <w:r>
        <w:rPr>
          <w:b/>
        </w:rPr>
        <w:t xml:space="preserve">Version: </w:t>
      </w:r>
      <w:r>
        <w:rPr>
          <w:b w:val="0"/>
        </w:rPr>
        <w:t>v2</w:t>
      </w:r>
    </w:p>
    <w:p>
      <w:r>
        <w:rPr>
          <w:b/>
        </w:rPr>
        <w:t xml:space="preserve">Dokument-ID: </w:t>
      </w:r>
      <w:r>
        <w:rPr>
          <w:b w:val="0"/>
        </w:rPr>
        <w:t>DOC-COMP-004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Ägarna (Maja Lindqvist 60 %, Jonas Sandberg 40 %) har fastställt följande direktiv för bolagets verksamhet:</w:t>
      </w:r>
    </w:p>
    <w:p>
      <w:r>
        <w:rPr>
          <w:b/>
          <w:i w:val="0"/>
        </w:rPr>
        <w:t>1. Lönsamhet: Avkastning på eget kapital ska över tid uppgå till minst 15 % per år.</w:t>
      </w:r>
    </w:p>
    <w:p>
      <w:r>
        <w:rPr>
          <w:b w:val="0"/>
          <w:i w:val="0"/>
        </w:rPr>
        <w:t>2. Tillväxt: Omsättningen ska växa med minst 10 % per år utan att bruttomarginalen försämras.</w:t>
      </w:r>
    </w:p>
    <w:p>
      <w:r>
        <w:rPr>
          <w:b w:val="0"/>
          <w:i w:val="0"/>
        </w:rPr>
        <w:t>3. Soliditet: Soliditeten ska hållas över 25 % (bankens covenantkrav beaktas).</w:t>
      </w:r>
    </w:p>
    <w:p>
      <w:r>
        <w:rPr>
          <w:b w:val="0"/>
          <w:i w:val="0"/>
        </w:rPr>
        <w:t>4. Utdelning: Utdelning kan lämnas med högst 30 % av årets resultat efter skatt, under förutsättning att soliditets- och likviditetsmål uppfylls.</w:t>
      </w:r>
    </w:p>
    <w:p>
      <w:r>
        <w:rPr>
          <w:b w:val="0"/>
          <w:i w:val="0"/>
        </w:rPr>
        <w:t>5. Risk: Kundberoendet får inte överstiga 40 % av omsättningen för en enskild kund utan styrelsens godkännande.</w:t>
      </w:r>
    </w:p>
    <w:p>
      <w:r>
        <w:rPr>
          <w:b w:val="0"/>
          <w:i w:val="0"/>
        </w:rPr>
        <w:t>6. Hållbarhet och arbetsmiljö: Bolaget ska bedriva ett systematiskt arbetsmiljöarbete och följa tillämplig lagstiftning.</w:t>
      </w:r>
    </w:p>
    <w:p>
      <w:r>
        <w:rPr>
          <w:b w:val="0"/>
          <w:i w:val="0"/>
        </w:rPr>
        <w:t>Direktivet revideras vid behov, dock minst vart tredje år.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