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Ägardirektiv</w:t>
      </w:r>
    </w:p>
    <w:p>
      <w:r>
        <w:rPr>
          <w:b w:val="0"/>
          <w:i w:val="0"/>
        </w:rPr>
        <w:t>Avtalsnummer: CTR-SUPPL-027</w:t>
      </w:r>
    </w:p>
    <w:p>
      <w:r>
        <w:rPr>
          <w:b/>
          <w:i w:val="0"/>
        </w:rPr>
        <w:t>Parter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Roll</w:t>
            </w:r>
          </w:p>
        </w:tc>
      </w:tr>
      <w:tr>
        <w:tc>
          <w:tcPr>
            <w:tcW w:type="dxa" w:w="4677"/>
          </w:tcPr>
          <w:p>
            <w:r>
              <w:t>Nordviken Digital AB</w:t>
            </w:r>
          </w:p>
        </w:tc>
        <w:tc>
          <w:tcPr>
            <w:tcW w:type="dxa" w:w="4677"/>
          </w:tcPr>
          <w:p>
            <w:r>
              <w:t>Bolaget</w:t>
            </w:r>
          </w:p>
        </w:tc>
      </w:tr>
      <w:tr>
        <w:tc>
          <w:tcPr>
            <w:tcW w:type="dxa" w:w="4677"/>
          </w:tcPr>
          <w:p>
            <w:r>
              <w:t>Styrelsen och ledningen</w:t>
            </w:r>
          </w:p>
        </w:tc>
        <w:tc>
          <w:tcPr>
            <w:tcW w:type="dxa" w:w="4677"/>
          </w:tcPr>
          <w:p>
            <w:r>
              <w:t>Mottagare</w:t>
            </w:r>
          </w:p>
        </w:tc>
      </w:tr>
    </w:tbl>
    <w:p>
      <w:r>
        <w:rPr>
          <w:b/>
          <w:i w:val="0"/>
        </w:rPr>
        <w:t>Bakgrund</w:t>
      </w:r>
    </w:p>
    <w:p>
      <w:r>
        <w:rPr>
          <w:b w:val="0"/>
          <w:i w:val="0"/>
        </w:rPr>
        <w:t>A. Ägarna har genom bolagsstämman gett styrelsen i uppdrag att fastställa riktlinjer för verksamheten.</w:t>
      </w:r>
    </w:p>
    <w:p>
      <w:r>
        <w:rPr>
          <w:b w:val="0"/>
          <w:i w:val="0"/>
        </w:rPr>
        <w:t>B. Detta ägardirektiv anger ägarnas förväntningar på bolagets verksamhet och finansiella ställning.</w:t>
      </w:r>
    </w:p>
    <w:p>
      <w:pPr>
        <w:pStyle w:val="Heading2"/>
      </w:pPr>
      <w:r>
        <w:t>1. Verksamhetens inriktning</w:t>
      </w:r>
    </w:p>
    <w:p>
      <w:r>
        <w:rPr>
          <w:b w:val="0"/>
          <w:i w:val="0"/>
        </w:rPr>
        <w:t>Bolaget ska bedriva IT-konsultverksamhet med inriktning mot systemutveckling, integration, förvaltning och relaterade tjänster.</w:t>
      </w:r>
    </w:p>
    <w:p>
      <w:pPr>
        <w:pStyle w:val="Heading2"/>
      </w:pPr>
      <w:r>
        <w:t>2. Finansiella principer</w:t>
      </w:r>
    </w:p>
    <w:p>
      <w:r>
        <w:rPr>
          <w:b w:val="0"/>
          <w:i w:val="0"/>
        </w:rPr>
        <w:t>Bolaget ska bedriva sin verksamhet så att finansiella åtaganden gentemot kreditgivare och övriga motparter alltid kan fullgöras.</w:t>
      </w:r>
    </w:p>
    <w:p>
      <w:pPr>
        <w:pStyle w:val="Heading2"/>
      </w:pPr>
      <w:r>
        <w:t>3. Rapportering</w:t>
      </w:r>
    </w:p>
    <w:p>
      <w:r>
        <w:rPr>
          <w:b w:val="0"/>
          <w:i w:val="0"/>
        </w:rPr>
        <w:t>Ledningen ska rapportera till styrelsen minst kvartalsvis.</w:t>
      </w:r>
    </w:p>
    <w:p>
      <w:pPr>
        <w:pStyle w:val="Heading2"/>
      </w:pPr>
      <w:r>
        <w:t>4. Hållbarhet och etik</w:t>
      </w:r>
    </w:p>
    <w:p>
      <w:r>
        <w:rPr>
          <w:b w:val="0"/>
          <w:i w:val="0"/>
        </w:rPr>
        <w:t>Bolaget ska bedriva sin verksamhet på ett etiskt och hållbart sätt och i enlighet med tillämpliga lagar och författningar.</w:t>
      </w:r>
    </w:p>
    <w:p>
      <w:pPr>
        <w:pStyle w:val="Heading2"/>
      </w:pPr>
      <w:r>
        <w:t>5. Meddelanden</w:t>
      </w:r>
    </w:p>
    <w:p>
      <w:r>
        <w:rPr>
          <w:b w:val="0"/>
          <w:i w:val="0"/>
        </w:rPr>
        <w:t>Meddelanden enligt detta direktiv ska ske skriftligen.</w:t>
      </w:r>
    </w:p>
    <w:p>
      <w:pPr>
        <w:pStyle w:val="Heading2"/>
      </w:pPr>
      <w:r>
        <w:t>6. Fastställelse</w:t>
      </w:r>
    </w:p>
    <w:p>
      <w:r>
        <w:rPr>
          <w:b w:val="0"/>
          <w:i w:val="0"/>
        </w:rPr>
        <w:t>Ägardirektivet fastställs årligen av styrelsen.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Datum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Ändring</w:t>
            </w:r>
          </w:p>
        </w:tc>
      </w:tr>
      <w:tr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12.11.2024</w:t>
            </w:r>
          </w:p>
        </w:tc>
        <w:tc>
          <w:tcPr>
            <w:tcW w:type="dxa" w:w="3118"/>
          </w:tcPr>
          <w:p>
            <w:r>
              <w:t>Ursprungligt ägardirektiv.</w:t>
            </w:r>
          </w:p>
        </w:tc>
      </w:tr>
    </w:tbl>
    <w:p>
      <w:pPr>
        <w:pStyle w:val="Heading2"/>
      </w:pPr>
      <w:r>
        <w:t>Övriga bestämmelser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Sekretess: Vardera parten ska hemlighålla information om motpartens verksamhet som parten får del av med anledning av detta avtal och som är av konfidentiell natur.</w:t>
      </w:r>
    </w:p>
    <w:p>
      <w:pPr>
        <w:pStyle w:val="Heading2"/>
      </w:pPr>
      <w:r>
        <w:t>Underskrifter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Namnförtydligande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Ort och datum</w:t>
            </w:r>
          </w:p>
        </w:tc>
      </w:tr>
      <w:tr>
        <w:tc>
          <w:tcPr>
            <w:tcW w:type="dxa" w:w="3118"/>
          </w:tcPr>
          <w:p>
            <w:r>
              <w:t>Styrelsen</w:t>
            </w:r>
          </w:p>
        </w:tc>
        <w:tc>
          <w:tcPr>
            <w:tcW w:type="dxa" w:w="3118"/>
          </w:tcPr>
          <w:p>
            <w:r>
              <w:t>Eva Granlund, styrelseordförande</w:t>
            </w:r>
          </w:p>
        </w:tc>
        <w:tc>
          <w:tcPr>
            <w:tcW w:type="dxa" w:w="3118"/>
          </w:tcPr>
          <w:p>
            <w:r>
              <w:t>12.11.2024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