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Ramavtal IT-tjänster Gråvikens kommun</w:t>
      </w:r>
    </w:p>
    <w:p>
      <w:r>
        <w:rPr>
          <w:b w:val="0"/>
          <w:i w:val="0"/>
        </w:rPr>
        <w:t>Avtalsnummer: CTR-2022-007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Faktaruta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30.09.2022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01.10.2022 – 31.12.2026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1 050,00 kr per timme (exkl. moms).</w:t>
            </w:r>
          </w:p>
        </w:tc>
      </w:tr>
    </w:tbl>
    <w:p>
      <w:pPr>
        <w:pStyle w:val="Heading2"/>
      </w:pPr>
      <w:r>
        <w:t>1. Parter</w:t>
      </w:r>
    </w:p>
    <w:p>
      <w:r>
        <w:rPr>
          <w:b w:val="0"/>
          <w:i w:val="0"/>
        </w:rPr>
        <w:t>Kunden: Gråvikens kommun (org.nr 212000-2145), Gråviken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pPr>
        <w:pStyle w:val="Heading2"/>
      </w:pPr>
      <w:r>
        <w:t>2. Bakgrund och syfte</w:t>
      </w:r>
    </w:p>
    <w:p>
      <w:r>
        <w:rPr>
          <w:b w:val="0"/>
          <w:i w:val="0"/>
        </w:rPr>
        <w:t>Parterna har träffat detta avtal ("Avtalet") avseende Ramavtal IT-tjänster Gråvikens kommun. Avtalet reglerar parternas samtliga rättigheter och skyldigheter för uppdraget under avtalstiden.</w:t>
      </w:r>
    </w:p>
    <w:p>
      <w:pPr>
        <w:pStyle w:val="Heading2"/>
      </w:pPr>
      <w:r>
        <w:t>3. Uppdragets omfattning</w:t>
      </w:r>
    </w:p>
    <w:p>
      <w:r>
        <w:rPr>
          <w:b w:val="0"/>
          <w:i w:val="0"/>
        </w:rPr>
        <w:t>Ramavtalet reglerar de allmänna villkoren för konsulttjänster som leverantören utför åt kunden. Uppdrag avropas skriftligen av kunden och utförs på löpande räkning enligt överenskomna timpriser.</w:t>
      </w:r>
    </w:p>
    <w:p>
      <w:pPr>
        <w:pStyle w:val="Heading2"/>
      </w:pPr>
      <w:r>
        <w:t>4. Avtalstid och uppsägning</w:t>
      </w:r>
    </w:p>
    <w:p>
      <w:r>
        <w:rPr>
          <w:b w:val="0"/>
          <w:i w:val="0"/>
        </w:rPr>
        <w:t>Avtalet gäller från och med 01.10.2022 till och med 31.12.2026.</w:t>
      </w:r>
    </w:p>
    <w:p>
      <w:r>
        <w:rPr>
          <w:b w:val="0"/>
          <w:i w:val="0"/>
        </w:rPr>
        <w:t>Avtalet förlängs automatiskt med 12 månader om det inte sägs upp senast 6 månader före utgången.</w:t>
      </w:r>
    </w:p>
    <w:p>
      <w:r>
        <w:rPr>
          <w:b w:val="0"/>
          <w:i w:val="0"/>
        </w:rPr>
        <w:t>Uppsägning ska vara skriftlig.</w:t>
      </w:r>
    </w:p>
    <w:p>
      <w:pPr>
        <w:pStyle w:val="Heading2"/>
      </w:pPr>
      <w:r>
        <w:t>5. Pris och betalning</w:t>
      </w:r>
    </w:p>
    <w:p>
      <w:r>
        <w:rPr>
          <w:b w:val="0"/>
          <w:i w:val="0"/>
        </w:rPr>
        <w:t>Timpris: 1 050,00 kr per timme (exkl. moms).</w:t>
      </w:r>
    </w:p>
    <w:p>
      <w:r>
        <w:rPr>
          <w:b w:val="0"/>
          <w:i w:val="0"/>
        </w:rPr>
        <w:t>Timpriset indexregleras enligt indexklausulen nedan.</w:t>
      </w:r>
    </w:p>
    <w:p>
      <w:r>
        <w:rPr>
          <w:b w:val="0"/>
          <w:i w:val="0"/>
        </w:rPr>
        <w:t>Priserna uppräknas årligen per den 1 oktober 2025 med KPI, basmånad oktober 2023.</w:t>
      </w:r>
    </w:p>
    <w:p>
      <w:r>
        <w:rPr>
          <w:b w:val="0"/>
          <w:i w:val="0"/>
        </w:rPr>
        <w:t>Uppräkning sker med faktorn KPI september 2023 dividerat med KPI oktober 2023.</w:t>
      </w:r>
    </w:p>
    <w:p>
      <w:r>
        <w:rPr>
          <w:b w:val="0"/>
          <w:i w:val="0"/>
        </w:rPr>
        <w:t>Betalningsvillkor: 30 dagar netto. Fakturering sker månadsvis i efterskott. Vid försenad betalning utgår dröjsmålsränta enligt räntelagen.</w:t>
      </w:r>
    </w:p>
    <w:p>
      <w:pPr>
        <w:pStyle w:val="Heading2"/>
      </w:pPr>
      <w:r>
        <w:t>6. Ansvarsbegränsning</w:t>
      </w:r>
    </w:p>
    <w:p>
      <w:r>
        <w:rPr>
          <w:b w:val="0"/>
          <w:i w:val="0"/>
        </w:rPr>
        <w:t>Vardera partens sammanlagda skadeståndsansvar enligt detta avtal är begränsat till tjugo (20) prisbasbelopp.</w:t>
      </w:r>
    </w:p>
    <w:p>
      <w:pPr>
        <w:pStyle w:val="Heading2"/>
      </w:pPr>
      <w:r>
        <w:t>7. Sekretess</w:t>
      </w:r>
    </w:p>
    <w:p>
      <w:r>
        <w:rPr>
          <w:b w:val="0"/>
          <w:i w:val="0"/>
        </w:rPr>
        <w:t>Vardera parten ska hemlighålla information som parten tar del av inom ramen för avtalet och som är av konfidentiell natur. Sekretessåtagandet gäller under avtalstiden och två (2) år därefter.</w:t>
      </w:r>
    </w:p>
    <w:p>
      <w:pPr>
        <w:pStyle w:val="Heading2"/>
      </w:pPr>
      <w:r>
        <w:t>8. Immateriella rättigheter</w:t>
      </w:r>
    </w:p>
    <w:p>
      <w:r>
        <w:rPr>
          <w:b w:val="0"/>
          <w:i w:val="0"/>
        </w:rPr>
        <w:t>Respektive parts immateriella rättigheter som fanns före avtalets ingående kvarstår hos parten. Rättigheterna till resultat som framställs inom ramen för uppdraget tillfaller kunden efter det att avtalad ersättning betalats.</w:t>
      </w:r>
    </w:p>
    <w:p>
      <w:pPr>
        <w:pStyle w:val="Heading2"/>
      </w:pPr>
      <w:r>
        <w:t>9. Force majeure</w:t>
      </w:r>
    </w:p>
    <w:p>
      <w:r>
        <w:rPr>
          <w:b w:val="0"/>
          <w:i w:val="0"/>
        </w:rPr>
        <w:t>Part är befriad från påföljd för underlåtenhet att fullgöra förpliktelse enligt avtalet om underlåtenheten beror på omständighet utanför partens kontroll som parten inte skäligen kunde förutse vid avtalets ingående.</w:t>
      </w:r>
    </w:p>
    <w:p>
      <w:pPr>
        <w:pStyle w:val="Heading2"/>
      </w:pPr>
      <w:r>
        <w:t>10. Överlåtelse</w:t>
      </w:r>
    </w:p>
    <w:p>
      <w:r>
        <w:rPr>
          <w:b w:val="0"/>
          <w:i w:val="0"/>
        </w:rPr>
        <w:t>Part får inte överlåta eller pantsätta rättigheter eller skyldigheter enligt avtalet utan den andra partens skriftliga medgivande.</w:t>
      </w:r>
    </w:p>
    <w:p>
      <w:pPr>
        <w:pStyle w:val="Heading2"/>
      </w:pPr>
      <w:r>
        <w:t>11. Tvist och tillämplig lag</w:t>
      </w:r>
    </w:p>
    <w:p>
      <w:r>
        <w:rPr>
          <w:b w:val="0"/>
          <w:i w:val="0"/>
        </w:rPr>
        <w:t>Svensk rätt tillämpas på avtalet. Tvister med anledning av avtalet ska avgöras av Stockholms tingsrätt som första instans.</w:t>
      </w:r>
    </w:p>
    <w:p>
      <w:pPr>
        <w:pStyle w:val="Heading2"/>
      </w:pPr>
      <w:r>
        <w:t>12. Ändringshantering</w:t>
      </w:r>
    </w:p>
    <w:p>
      <w:r>
        <w:rPr>
          <w:b w:val="0"/>
          <w:i w:val="0"/>
        </w:rPr>
        <w:t>Ändringar av uppdragets omfattning, tidplan eller pris hanteras skriftligen som ändringsbegäran. En ändring träder i kraft först när båda parter skriftligen godkänt den.</w:t>
      </w:r>
    </w:p>
    <w:p>
      <w:pPr>
        <w:pStyle w:val="Heading2"/>
      </w:pPr>
      <w:r>
        <w:t>13. Allmänna bestämmelser</w:t>
      </w:r>
    </w:p>
    <w:p>
      <w:pPr>
        <w:pStyle w:val="Heading2"/>
      </w:pPr>
      <w:r>
        <w:t>13.1 Prioritet mellan handlingar</w:t>
      </w:r>
    </w:p>
    <w:p>
      <w:r>
        <w:rPr>
          <w:b w:val="0"/>
          <w:i w:val="0"/>
        </w:rPr>
        <w:t>Vid motstridighet mellan avtalets handlingar gäller de i följande ordning: detta avtal, därefter bilagorna i nummerordning.</w:t>
      </w:r>
    </w:p>
    <w:p>
      <w:pPr>
        <w:pStyle w:val="Heading2"/>
      </w:pPr>
      <w:r>
        <w:t>13.2 Efterlevnad av lag</w:t>
      </w:r>
    </w:p>
    <w:p>
      <w:r>
        <w:rPr>
          <w:b w:val="0"/>
          <w:i w:val="0"/>
        </w:rPr>
        <w:t>Vardera parten ska vid fullgörandet av avtalet följa vid var tid tillämpliga lagar, förordningar och myndighetsföreskrifter.</w:t>
      </w:r>
    </w:p>
    <w:p>
      <w:pPr>
        <w:pStyle w:val="Heading2"/>
      </w:pPr>
      <w:r>
        <w:t>13.3 Tredje parts rättigheter</w:t>
      </w:r>
    </w:p>
    <w:p>
      <w:r>
        <w:rPr>
          <w:b w:val="0"/>
          <w:i w:val="0"/>
        </w:rPr>
        <w:t>Avtalet ger inte tredje man några rättigheter som kan göras gällande mot någon av parterna.</w:t>
      </w:r>
    </w:p>
    <w:p>
      <w:pPr>
        <w:pStyle w:val="Heading2"/>
      </w:pPr>
      <w:r>
        <w:t>13.4 Personal och kompetens</w:t>
      </w:r>
    </w:p>
    <w:p>
      <w:r>
        <w:rPr>
          <w:b w:val="0"/>
          <w:i w:val="0"/>
        </w:rPr>
        <w:t>Leverantören svarar för att personal som utför uppdraget har erforderlig kompetens och erfarenhet. Leverantören ska i möjligaste mån undvika onödiga personbyten under uppdragets genomförande.</w:t>
      </w:r>
    </w:p>
    <w:p>
      <w:pPr>
        <w:pStyle w:val="Heading2"/>
      </w:pPr>
      <w:r>
        <w:t>13.5 Möten och uppföljning</w:t>
      </w:r>
    </w:p>
    <w:p>
      <w:r>
        <w:rPr>
          <w:b w:val="0"/>
          <w:i w:val="0"/>
        </w:rPr>
        <w:t>Parterna ska vid behov hålla avstämningsmöten för att följa upp avtalets fullgörande och hantera avvikelser och förbättringsförslag.</w:t>
      </w:r>
    </w:p>
    <w:p>
      <w:pPr>
        <w:pStyle w:val="Heading2"/>
      </w:pPr>
      <w:r>
        <w:t>13.6 Meddelanden</w:t>
      </w:r>
    </w:p>
    <w:p>
      <w:r>
        <w:rPr>
          <w:b w:val="0"/>
          <w:i w:val="0"/>
        </w:rPr>
        <w:t>Meddelanden enligt avtalet ska ske skriftligen till motpartens angivna adress eller e-postadress.</w:t>
      </w:r>
    </w:p>
    <w:p>
      <w:pPr>
        <w:pStyle w:val="Heading2"/>
      </w:pPr>
      <w:r>
        <w:t>13.7 Ändringar</w:t>
      </w:r>
    </w:p>
    <w:p>
      <w:r>
        <w:rPr>
          <w:b w:val="0"/>
          <w:i w:val="0"/>
        </w:rPr>
        <w:t>Ändringar av och tillägg till avtalet ska vara skriftliga och undertecknade av båda parter för att vara gällande.</w:t>
      </w:r>
    </w:p>
    <w:p>
      <w:pPr>
        <w:pStyle w:val="Heading2"/>
      </w:pPr>
      <w:r>
        <w:t>13.8 Hela avtalet</w:t>
      </w:r>
    </w:p>
    <w:p>
      <w:r>
        <w:rPr>
          <w:b w:val="0"/>
          <w:i w:val="0"/>
        </w:rPr>
        <w:t>Avtalet utgör parternas fullständiga reglering av de frågor som omfattas av avtalet och ersätter alla tidigare muntliga eller skriftliga överenskommelser i dessa frågor.</w:t>
      </w:r>
    </w:p>
    <w:p>
      <w:pPr>
        <w:pStyle w:val="Heading2"/>
      </w:pPr>
      <w:r>
        <w:t>13.9 Ogiltighet</w:t>
      </w:r>
    </w:p>
    <w:p>
      <w:r>
        <w:rPr>
          <w:b w:val="0"/>
          <w:i w:val="0"/>
        </w:rPr>
        <w:t>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pPr>
        <w:pStyle w:val="Heading2"/>
      </w:pPr>
      <w:r>
        <w:t>14. Bilagor</w:t>
      </w:r>
    </w:p>
    <w:p>
      <w:r>
        <w:rPr>
          <w:b w:val="0"/>
          <w:i w:val="0"/>
        </w:rPr>
        <w:t>Bilaga 1: Allmänna villkor</w:t>
      </w:r>
    </w:p>
    <w:p>
      <w:r>
        <w:rPr>
          <w:b w:val="0"/>
          <w:i w:val="0"/>
        </w:rPr>
        <w:t>Bilaga 2: Tidplan</w:t>
      </w:r>
    </w:p>
    <w:p>
      <w:r>
        <w:rPr>
          <w:b w:val="0"/>
          <w:i w:val="0"/>
        </w:rPr>
        <w:t>Bilaga 3: Prislista</w:t>
      </w:r>
    </w:p>
    <w:p>
      <w:pPr>
        <w:pStyle w:val="Heading2"/>
      </w:pPr>
      <w:r>
        <w:t>15. Ändringshistorik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Datum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Ändring</w:t>
            </w:r>
          </w:p>
        </w:tc>
      </w:tr>
      <w:tr>
        <w:tc>
          <w:tcPr>
            <w:tcW w:type="dxa" w:w="3118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30.09.2022</w:t>
            </w:r>
          </w:p>
        </w:tc>
        <w:tc>
          <w:tcPr>
            <w:tcW w:type="dxa" w:w="3118"/>
          </w:tcPr>
          <w:p>
            <w:r>
              <w:t>Ursprungligt: 990 kr/h.</w:t>
            </w:r>
          </w:p>
        </w:tc>
      </w:tr>
      <w:tr>
        <w:tc>
          <w:tcPr>
            <w:tcW w:type="dxa" w:w="3118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12.06.2024</w:t>
            </w:r>
          </w:p>
        </w:tc>
        <w:tc>
          <w:tcPr>
            <w:tcW w:type="dxa" w:w="3118"/>
          </w:tcPr>
          <w:p>
            <w:r>
              <w:t>Höjning till 1 050 kr/h.</w:t>
            </w:r>
          </w:p>
        </w:tc>
      </w:tr>
    </w:tbl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Gråvikens kommun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Åsa Bergman</w:t>
              <w:br/>
              <w:br/>
              <w:br/>
              <w:br/>
              <w:t>Befattning: IT-chef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CTR-2022-007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