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Advokatfirman Krav &amp; Klar KB (nedan "Part B"). Parterna benämns gemensamt "Parterna".</w:t>
      </w:r>
    </w:p>
    <w:p>
      <w:r>
        <w:rPr>
          <w:b w:val="0"/>
          <w:i w:val="0"/>
        </w:rPr>
        <w:t>Avtalsdatum: 05.02.2024</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r>
        <w:rPr>
          <w:b w:val="0"/>
          <w:i w:val="0"/>
        </w:rPr>
        <w:t>Efterlevnad av lag: Vardera parten ska vid fullgörandet av avtalet följa vid var tid tillämpliga lagar, förordningar och myndighetsföreskrifter.</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Advokatfirman Krav &amp; Klar KB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Fredrik Stenberg</w:t>
              <w:br/>
              <w:br/>
              <w:br/>
              <w:br/>
              <w:t>Befattning: Advokat</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