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Blåklintens Vård AB</w:t>
      </w:r>
    </w:p>
    <w:p>
      <w:r>
        <w:rPr>
          <w:b/>
        </w:rPr>
        <w:t xml:space="preserve">Datum: </w:t>
      </w:r>
      <w:r>
        <w:rPr>
          <w:b w:val="0"/>
        </w:rPr>
        <w:t>2026-09-12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DOC-CRM-007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Holm; Ingrid Holm (Blåklintens Vård)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Support</w:t>
      </w:r>
    </w:p>
    <w:p>
      <w:r>
        <w:rPr>
          <w:b w:val="0"/>
          <w:i w:val="0"/>
        </w:rPr>
        <w:t>Genomgång av åtgärdsplanen för supporten (svarstidsmål, bemanning). Kunden är fortsatt kritisk men beredd att avvakta.</w:t>
      </w:r>
    </w:p>
    <w:p>
      <w:r>
        <w:rPr>
          <w:b/>
          <w:i w:val="0"/>
        </w:rPr>
        <w:t>2. Avtal</w:t>
      </w:r>
    </w:p>
    <w:p>
      <w:r>
        <w:rPr>
          <w:b w:val="0"/>
          <w:i w:val="0"/>
        </w:rPr>
        <w:t>Kunden öppnade för att diskutera avtalsvillkoren vid nästa kvartalsmöte.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