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INV-2024-0011-IB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48 000,00</w:t>
            </w:r>
          </w:p>
        </w:tc>
        <w:tc>
          <w:tcPr>
            <w:tcW w:type="dxa" w:w="1728"/>
          </w:tcPr>
          <w:p>
            <w:r>
              <w:t>12 000,00</w:t>
            </w:r>
          </w:p>
        </w:tc>
        <w:tc>
          <w:tcPr>
            <w:tcW w:type="dxa" w:w="1728"/>
          </w:tcPr>
          <w:p>
            <w:r>
              <w:t>60 000,00</w:t>
            </w:r>
          </w:p>
        </w:tc>
      </w:tr>
    </w:tbl>
    <w:p>
      <w:pPr>
        <w:jc w:val="right"/>
      </w:pPr>
      <w:r>
        <w:rPr>
          <w:b/>
        </w:rPr>
        <w:t>ATT BETALA: 60 000,00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