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  <w:i/>
        </w:rPr>
        <w:t>Nordviken Digital AB  ·  Org.nr 559245-1673  ·  Kajplatsen 4, 115 27 Stockholm</w:t>
      </w:r>
    </w:p>
    <w:p>
      <w:pPr>
        <w:pStyle w:val="Title"/>
      </w:pPr>
      <w:r>
        <w:t>Budget FY2026 (2025-10-01 – 2026-09-30)</w:t>
      </w:r>
    </w:p>
    <w:p>
      <w:r>
        <w:rPr>
          <w:b/>
        </w:rPr>
        <w:t xml:space="preserve">Datum: </w:t>
      </w:r>
      <w:r>
        <w:rPr>
          <w:b w:val="0"/>
        </w:rPr>
        <w:t>Beslutad av styrelsen 2025-09-25</w:t>
      </w:r>
    </w:p>
    <w:p>
      <w:r>
        <w:rPr>
          <w:b/>
        </w:rPr>
        <w:t xml:space="preserve">Upprättad av: </w:t>
      </w:r>
      <w:r>
        <w:rPr>
          <w:b w:val="0"/>
        </w:rPr>
        <w:t>Anders Bergström, CFO</w:t>
      </w:r>
    </w:p>
    <w:p>
      <w:r>
        <w:rPr>
          <w:b/>
        </w:rPr>
        <w:t xml:space="preserve">Version: </w:t>
      </w:r>
      <w:r>
        <w:rPr>
          <w:b w:val="0"/>
        </w:rPr>
        <w:t>v1.0</w:t>
      </w:r>
    </w:p>
    <w:p>
      <w:r>
        <w:rPr>
          <w:b/>
        </w:rPr>
        <w:t xml:space="preserve">Dokument-ID: </w:t>
      </w:r>
      <w:r>
        <w:rPr>
          <w:b w:val="0"/>
        </w:rPr>
        <w:t>DOC-BUDG-001</w:t>
      </w:r>
    </w:p>
    <w:p>
      <w:r>
        <w:rPr>
          <w:b w:val="0"/>
          <w:i w:val="0"/>
        </w:rPr>
      </w:r>
    </w:p>
    <w:p>
      <w:r>
        <w:rPr>
          <w:b w:val="0"/>
          <w:i w:val="0"/>
        </w:rPr>
        <w:t>Sammanfattning</w:t>
      </w:r>
    </w:p>
    <w:p>
      <w:r>
        <w:rPr>
          <w:b w:val="0"/>
          <w:i w:val="0"/>
        </w:rPr>
        <w:t>Budgeten fastställer nettoomsättning 47 000 000 kr och EBIT-mål 7,0 % (3 290 000 kr). Målet är lägre än det faktiska utfallet kom att bli – vid budgettillfället förväntades inte den kraftiga volymökningen i SEAB-samarbetet (SE-Integration).</w:t>
      </w:r>
    </w:p>
    <w:p>
      <w:r>
        <w:rPr>
          <w:b/>
          <w:i w:val="0"/>
        </w:rPr>
        <w:t>Månadsbudget (belopp i tkr, netto)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Månad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Intäkter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Kostnader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EBIT</w:t>
            </w:r>
          </w:p>
        </w:tc>
      </w:tr>
      <w:tr>
        <w:tc>
          <w:tcPr>
            <w:tcW w:type="dxa" w:w="2160"/>
          </w:tcPr>
          <w:p>
            <w:r>
              <w:t>2025-10</w:t>
            </w:r>
          </w:p>
        </w:tc>
        <w:tc>
          <w:tcPr>
            <w:tcW w:type="dxa" w:w="2160"/>
          </w:tcPr>
          <w:p>
            <w:r>
              <w:t>3 500</w:t>
            </w:r>
          </w:p>
        </w:tc>
        <w:tc>
          <w:tcPr>
            <w:tcW w:type="dxa" w:w="2160"/>
          </w:tcPr>
          <w:p>
            <w:r>
              <w:t>3 550</w:t>
            </w:r>
          </w:p>
        </w:tc>
        <w:tc>
          <w:tcPr>
            <w:tcW w:type="dxa" w:w="2160"/>
          </w:tcPr>
          <w:p>
            <w:r>
              <w:t>-50</w:t>
            </w:r>
          </w:p>
        </w:tc>
      </w:tr>
      <w:tr>
        <w:tc>
          <w:tcPr>
            <w:tcW w:type="dxa" w:w="2160"/>
          </w:tcPr>
          <w:p>
            <w:r>
              <w:t>2025-11</w:t>
            </w:r>
          </w:p>
        </w:tc>
        <w:tc>
          <w:tcPr>
            <w:tcW w:type="dxa" w:w="2160"/>
          </w:tcPr>
          <w:p>
            <w:r>
              <w:t>3 700</w:t>
            </w:r>
          </w:p>
        </w:tc>
        <w:tc>
          <w:tcPr>
            <w:tcW w:type="dxa" w:w="2160"/>
          </w:tcPr>
          <w:p>
            <w:r>
              <w:t>3 650</w:t>
            </w:r>
          </w:p>
        </w:tc>
        <w:tc>
          <w:tcPr>
            <w:tcW w:type="dxa" w:w="2160"/>
          </w:tcPr>
          <w:p>
            <w:r>
              <w:t>50</w:t>
            </w:r>
          </w:p>
        </w:tc>
      </w:tr>
      <w:tr>
        <w:tc>
          <w:tcPr>
            <w:tcW w:type="dxa" w:w="2160"/>
          </w:tcPr>
          <w:p>
            <w:r>
              <w:t>2025-12</w:t>
            </w:r>
          </w:p>
        </w:tc>
        <w:tc>
          <w:tcPr>
            <w:tcW w:type="dxa" w:w="2160"/>
          </w:tcPr>
          <w:p>
            <w:r>
              <w:t>3 200</w:t>
            </w:r>
          </w:p>
        </w:tc>
        <w:tc>
          <w:tcPr>
            <w:tcW w:type="dxa" w:w="2160"/>
          </w:tcPr>
          <w:p>
            <w:r>
              <w:t>3 450</w:t>
            </w:r>
          </w:p>
        </w:tc>
        <w:tc>
          <w:tcPr>
            <w:tcW w:type="dxa" w:w="2160"/>
          </w:tcPr>
          <w:p>
            <w:r>
              <w:t>-250</w:t>
            </w:r>
          </w:p>
        </w:tc>
      </w:tr>
      <w:tr>
        <w:tc>
          <w:tcPr>
            <w:tcW w:type="dxa" w:w="2160"/>
          </w:tcPr>
          <w:p>
            <w:r>
              <w:t>2026-01</w:t>
            </w:r>
          </w:p>
        </w:tc>
        <w:tc>
          <w:tcPr>
            <w:tcW w:type="dxa" w:w="2160"/>
          </w:tcPr>
          <w:p>
            <w:r>
              <w:t>3 700</w:t>
            </w:r>
          </w:p>
        </w:tc>
        <w:tc>
          <w:tcPr>
            <w:tcW w:type="dxa" w:w="2160"/>
          </w:tcPr>
          <w:p>
            <w:r>
              <w:t>3 600</w:t>
            </w:r>
          </w:p>
        </w:tc>
        <w:tc>
          <w:tcPr>
            <w:tcW w:type="dxa" w:w="2160"/>
          </w:tcPr>
          <w:p>
            <w:r>
              <w:t>100</w:t>
            </w:r>
          </w:p>
        </w:tc>
      </w:tr>
      <w:tr>
        <w:tc>
          <w:tcPr>
            <w:tcW w:type="dxa" w:w="2160"/>
          </w:tcPr>
          <w:p>
            <w:r>
              <w:t>2026-02</w:t>
            </w:r>
          </w:p>
        </w:tc>
        <w:tc>
          <w:tcPr>
            <w:tcW w:type="dxa" w:w="2160"/>
          </w:tcPr>
          <w:p>
            <w:r>
              <w:t>3 800</w:t>
            </w:r>
          </w:p>
        </w:tc>
        <w:tc>
          <w:tcPr>
            <w:tcW w:type="dxa" w:w="2160"/>
          </w:tcPr>
          <w:p>
            <w:r>
              <w:t>3 650</w:t>
            </w:r>
          </w:p>
        </w:tc>
        <w:tc>
          <w:tcPr>
            <w:tcW w:type="dxa" w:w="2160"/>
          </w:tcPr>
          <w:p>
            <w:r>
              <w:t>150</w:t>
            </w:r>
          </w:p>
        </w:tc>
      </w:tr>
      <w:tr>
        <w:tc>
          <w:tcPr>
            <w:tcW w:type="dxa" w:w="2160"/>
          </w:tcPr>
          <w:p>
            <w:r>
              <w:t>2026-03</w:t>
            </w:r>
          </w:p>
        </w:tc>
        <w:tc>
          <w:tcPr>
            <w:tcW w:type="dxa" w:w="2160"/>
          </w:tcPr>
          <w:p>
            <w:r>
              <w:t>3 900</w:t>
            </w:r>
          </w:p>
        </w:tc>
        <w:tc>
          <w:tcPr>
            <w:tcW w:type="dxa" w:w="2160"/>
          </w:tcPr>
          <w:p>
            <w:r>
              <w:t>3 700</w:t>
            </w:r>
          </w:p>
        </w:tc>
        <w:tc>
          <w:tcPr>
            <w:tcW w:type="dxa" w:w="2160"/>
          </w:tcPr>
          <w:p>
            <w:r>
              <w:t>200</w:t>
            </w:r>
          </w:p>
        </w:tc>
      </w:tr>
      <w:tr>
        <w:tc>
          <w:tcPr>
            <w:tcW w:type="dxa" w:w="2160"/>
          </w:tcPr>
          <w:p>
            <w:r>
              <w:t>2026-04</w:t>
            </w:r>
          </w:p>
        </w:tc>
        <w:tc>
          <w:tcPr>
            <w:tcW w:type="dxa" w:w="2160"/>
          </w:tcPr>
          <w:p>
            <w:r>
              <w:t>4 000</w:t>
            </w:r>
          </w:p>
        </w:tc>
        <w:tc>
          <w:tcPr>
            <w:tcW w:type="dxa" w:w="2160"/>
          </w:tcPr>
          <w:p>
            <w:r>
              <w:t>3 750</w:t>
            </w:r>
          </w:p>
        </w:tc>
        <w:tc>
          <w:tcPr>
            <w:tcW w:type="dxa" w:w="2160"/>
          </w:tcPr>
          <w:p>
            <w:r>
              <w:t>250</w:t>
            </w:r>
          </w:p>
        </w:tc>
      </w:tr>
      <w:tr>
        <w:tc>
          <w:tcPr>
            <w:tcW w:type="dxa" w:w="2160"/>
          </w:tcPr>
          <w:p>
            <w:r>
              <w:t>2026-05</w:t>
            </w:r>
          </w:p>
        </w:tc>
        <w:tc>
          <w:tcPr>
            <w:tcW w:type="dxa" w:w="2160"/>
          </w:tcPr>
          <w:p>
            <w:r>
              <w:t>4 100</w:t>
            </w:r>
          </w:p>
        </w:tc>
        <w:tc>
          <w:tcPr>
            <w:tcW w:type="dxa" w:w="2160"/>
          </w:tcPr>
          <w:p>
            <w:r>
              <w:t>3 800</w:t>
            </w:r>
          </w:p>
        </w:tc>
        <w:tc>
          <w:tcPr>
            <w:tcW w:type="dxa" w:w="2160"/>
          </w:tcPr>
          <w:p>
            <w:r>
              <w:t>300</w:t>
            </w:r>
          </w:p>
        </w:tc>
      </w:tr>
      <w:tr>
        <w:tc>
          <w:tcPr>
            <w:tcW w:type="dxa" w:w="2160"/>
          </w:tcPr>
          <w:p>
            <w:r>
              <w:t>2026-06</w:t>
            </w:r>
          </w:p>
        </w:tc>
        <w:tc>
          <w:tcPr>
            <w:tcW w:type="dxa" w:w="2160"/>
          </w:tcPr>
          <w:p>
            <w:r>
              <w:t>4 000</w:t>
            </w:r>
          </w:p>
        </w:tc>
        <w:tc>
          <w:tcPr>
            <w:tcW w:type="dxa" w:w="2160"/>
          </w:tcPr>
          <w:p>
            <w:r>
              <w:t>3 700</w:t>
            </w:r>
          </w:p>
        </w:tc>
        <w:tc>
          <w:tcPr>
            <w:tcW w:type="dxa" w:w="2160"/>
          </w:tcPr>
          <w:p>
            <w:r>
              <w:t>300</w:t>
            </w:r>
          </w:p>
        </w:tc>
      </w:tr>
      <w:tr>
        <w:tc>
          <w:tcPr>
            <w:tcW w:type="dxa" w:w="2160"/>
          </w:tcPr>
          <w:p>
            <w:r>
              <w:t>2026-07</w:t>
            </w:r>
          </w:p>
        </w:tc>
        <w:tc>
          <w:tcPr>
            <w:tcW w:type="dxa" w:w="2160"/>
          </w:tcPr>
          <w:p>
            <w:r>
              <w:t>3 200</w:t>
            </w:r>
          </w:p>
        </w:tc>
        <w:tc>
          <w:tcPr>
            <w:tcW w:type="dxa" w:w="2160"/>
          </w:tcPr>
          <w:p>
            <w:r>
              <w:t>3 300</w:t>
            </w:r>
          </w:p>
        </w:tc>
        <w:tc>
          <w:tcPr>
            <w:tcW w:type="dxa" w:w="2160"/>
          </w:tcPr>
          <w:p>
            <w:r>
              <w:t>-100</w:t>
            </w:r>
          </w:p>
        </w:tc>
      </w:tr>
      <w:tr>
        <w:tc>
          <w:tcPr>
            <w:tcW w:type="dxa" w:w="2160"/>
          </w:tcPr>
          <w:p>
            <w:r>
              <w:t>2026-08</w:t>
            </w:r>
          </w:p>
        </w:tc>
        <w:tc>
          <w:tcPr>
            <w:tcW w:type="dxa" w:w="2160"/>
          </w:tcPr>
          <w:p>
            <w:r>
              <w:t>4 300</w:t>
            </w:r>
          </w:p>
        </w:tc>
        <w:tc>
          <w:tcPr>
            <w:tcW w:type="dxa" w:w="2160"/>
          </w:tcPr>
          <w:p>
            <w:r>
              <w:t>3 750</w:t>
            </w:r>
          </w:p>
        </w:tc>
        <w:tc>
          <w:tcPr>
            <w:tcW w:type="dxa" w:w="2160"/>
          </w:tcPr>
          <w:p>
            <w:r>
              <w:t>550</w:t>
            </w:r>
          </w:p>
        </w:tc>
      </w:tr>
      <w:tr>
        <w:tc>
          <w:tcPr>
            <w:tcW w:type="dxa" w:w="2160"/>
          </w:tcPr>
          <w:p>
            <w:r>
              <w:t>2026-09</w:t>
            </w:r>
          </w:p>
        </w:tc>
        <w:tc>
          <w:tcPr>
            <w:tcW w:type="dxa" w:w="2160"/>
          </w:tcPr>
          <w:p>
            <w:r>
              <w:t>5 600</w:t>
            </w:r>
          </w:p>
        </w:tc>
        <w:tc>
          <w:tcPr>
            <w:tcW w:type="dxa" w:w="2160"/>
          </w:tcPr>
          <w:p>
            <w:r>
              <w:t>3 810</w:t>
            </w:r>
          </w:p>
        </w:tc>
        <w:tc>
          <w:tcPr>
            <w:tcW w:type="dxa" w:w="2160"/>
          </w:tcPr>
          <w:p>
            <w:r>
              <w:t>1 790</w:t>
            </w:r>
          </w:p>
        </w:tc>
      </w:tr>
      <w:tr>
        <w:tc>
          <w:tcPr>
            <w:tcW w:type="dxa" w:w="2160"/>
          </w:tcPr>
          <w:p>
            <w:r>
              <w:t>Summa</w:t>
            </w:r>
          </w:p>
        </w:tc>
        <w:tc>
          <w:tcPr>
            <w:tcW w:type="dxa" w:w="2160"/>
          </w:tcPr>
          <w:p>
            <w:r>
              <w:t>47 000</w:t>
            </w:r>
          </w:p>
        </w:tc>
        <w:tc>
          <w:tcPr>
            <w:tcW w:type="dxa" w:w="2160"/>
          </w:tcPr>
          <w:p>
            <w:r>
              <w:t>43 710</w:t>
            </w:r>
          </w:p>
        </w:tc>
        <w:tc>
          <w:tcPr>
            <w:tcW w:type="dxa" w:w="2160"/>
          </w:tcPr>
          <w:p>
            <w:r>
              <w:t>3 290 (7,0 %)</w:t>
            </w:r>
          </w:p>
        </w:tc>
      </w:tr>
    </w:tbl>
    <w:p>
      <w:r>
        <w:rPr>
          <w:b w:val="0"/>
          <w:i w:val="0"/>
        </w:rPr>
        <w:t>Kvartalsfördelning av budgeterade intäkter: Q1 (okt–dec) 10,4 MSEK, Q2 (jan–mar) 11,4 MSEK, Q3 (apr–jun) 12,1 MSEK, Q4 (jul–sep) 13,1 MSEK.</w:t>
      </w:r>
    </w:p>
    <w:p>
      <w:r>
        <w:rPr>
          <w:b/>
          <w:i w:val="0"/>
        </w:rPr>
        <w:t>Kostnadsbudget per kategori (tkr)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Kategori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Belopp</w:t>
            </w:r>
          </w:p>
        </w:tc>
      </w:tr>
      <w:tr>
        <w:tc>
          <w:tcPr>
            <w:tcW w:type="dxa" w:w="4320"/>
          </w:tcPr>
          <w:p>
            <w:r>
              <w:t>Personalkostnader</w:t>
            </w:r>
          </w:p>
        </w:tc>
        <w:tc>
          <w:tcPr>
            <w:tcW w:type="dxa" w:w="4320"/>
          </w:tcPr>
          <w:p>
            <w:r>
              <w:t>29 200</w:t>
            </w:r>
          </w:p>
        </w:tc>
      </w:tr>
      <w:tr>
        <w:tc>
          <w:tcPr>
            <w:tcW w:type="dxa" w:w="4320"/>
          </w:tcPr>
          <w:p>
            <w:r>
              <w:t>Underkonsulter</w:t>
            </w:r>
          </w:p>
        </w:tc>
        <w:tc>
          <w:tcPr>
            <w:tcW w:type="dxa" w:w="4320"/>
          </w:tcPr>
          <w:p>
            <w:r>
              <w:t>4 400</w:t>
            </w:r>
          </w:p>
        </w:tc>
      </w:tr>
      <w:tr>
        <w:tc>
          <w:tcPr>
            <w:tcW w:type="dxa" w:w="4320"/>
          </w:tcPr>
          <w:p>
            <w:r>
              <w:t>Lokaler</w:t>
            </w:r>
          </w:p>
        </w:tc>
        <w:tc>
          <w:tcPr>
            <w:tcW w:type="dxa" w:w="4320"/>
          </w:tcPr>
          <w:p>
            <w:r>
              <w:t>2 160</w:t>
            </w:r>
          </w:p>
        </w:tc>
      </w:tr>
      <w:tr>
        <w:tc>
          <w:tcPr>
            <w:tcW w:type="dxa" w:w="4320"/>
          </w:tcPr>
          <w:p>
            <w:r>
              <w:t>IT och mjukvara (SaaS)</w:t>
            </w:r>
          </w:p>
        </w:tc>
        <w:tc>
          <w:tcPr>
            <w:tcW w:type="dxa" w:w="4320"/>
          </w:tcPr>
          <w:p>
            <w:r>
              <w:t>3 350</w:t>
            </w:r>
          </w:p>
        </w:tc>
      </w:tr>
      <w:tr>
        <w:tc>
          <w:tcPr>
            <w:tcW w:type="dxa" w:w="4320"/>
          </w:tcPr>
          <w:p>
            <w:r>
              <w:t>Marknadsföring</w:t>
            </w:r>
          </w:p>
        </w:tc>
        <w:tc>
          <w:tcPr>
            <w:tcW w:type="dxa" w:w="4320"/>
          </w:tcPr>
          <w:p>
            <w:r>
              <w:t>900</w:t>
            </w:r>
          </w:p>
        </w:tc>
      </w:tr>
      <w:tr>
        <w:tc>
          <w:tcPr>
            <w:tcW w:type="dxa" w:w="4320"/>
          </w:tcPr>
          <w:p>
            <w:r>
              <w:t>Övriga externa kostnader</w:t>
            </w:r>
          </w:p>
        </w:tc>
        <w:tc>
          <w:tcPr>
            <w:tcW w:type="dxa" w:w="4320"/>
          </w:tcPr>
          <w:p>
            <w:r>
              <w:t>3 700</w:t>
            </w:r>
          </w:p>
        </w:tc>
      </w:tr>
      <w:tr>
        <w:tc>
          <w:tcPr>
            <w:tcW w:type="dxa" w:w="4320"/>
          </w:tcPr>
          <w:p>
            <w:r>
              <w:t>Summa</w:t>
            </w:r>
          </w:p>
        </w:tc>
        <w:tc>
          <w:tcPr>
            <w:tcW w:type="dxa" w:w="4320"/>
          </w:tcPr>
          <w:p>
            <w:r>
              <w:t>43 710</w:t>
            </w:r>
          </w:p>
        </w:tc>
      </w:tr>
    </w:tbl>
    <w:p>
      <w:r>
        <w:rPr>
          <w:b/>
          <w:i w:val="0"/>
        </w:rPr>
        <w:t>Antaganden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Antagande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Kommentar</w:t>
            </w:r>
          </w:p>
        </w:tc>
      </w:tr>
      <w:tr>
        <w:tc>
          <w:tcPr>
            <w:tcW w:type="dxa" w:w="4320"/>
          </w:tcPr>
          <w:p>
            <w:r>
              <w:t>SE-Integration (SEAB)</w:t>
            </w:r>
          </w:p>
        </w:tc>
        <w:tc>
          <w:tcPr>
            <w:tcW w:type="dxa" w:w="4320"/>
          </w:tcPr>
          <w:p>
            <w:r>
              <w:t>550–600 debiterbara timmar per månad till 1 180 kr/h. (Faktiskt utfall blev ca 600–800 timmar/månad.)</w:t>
            </w:r>
          </w:p>
        </w:tc>
      </w:tr>
      <w:tr>
        <w:tc>
          <w:tcPr>
            <w:tcW w:type="dxa" w:w="4320"/>
          </w:tcPr>
          <w:p>
            <w:r>
              <w:t>Mossbackens Mekaniska</w:t>
            </w:r>
          </w:p>
        </w:tc>
        <w:tc>
          <w:tcPr>
            <w:tcW w:type="dxa" w:w="4320"/>
          </w:tcPr>
          <w:p>
            <w:r>
              <w:t>Löpande samarbete hela året antogs. (Kunden lämnade oss 2026-06-30.)</w:t>
            </w:r>
          </w:p>
        </w:tc>
      </w:tr>
      <w:tr>
        <w:tc>
          <w:tcPr>
            <w:tcW w:type="dxa" w:w="4320"/>
          </w:tcPr>
          <w:p>
            <w:r>
              <w:t>Rekryteringar</w:t>
            </w:r>
          </w:p>
        </w:tc>
        <w:tc>
          <w:tcPr>
            <w:tcW w:type="dxa" w:w="4320"/>
          </w:tcPr>
          <w:p>
            <w:r>
              <w:t>Två planerade rekryteringar under året. (Båda sköts upp; endast arkitektrollen tillsattes i maj 2026.)</w:t>
            </w:r>
          </w:p>
        </w:tc>
      </w:tr>
      <w:tr>
        <w:tc>
          <w:tcPr>
            <w:tcW w:type="dxa" w:w="4320"/>
          </w:tcPr>
          <w:p>
            <w:r>
              <w:t>Offentlig sektor</w:t>
            </w:r>
          </w:p>
        </w:tc>
        <w:tc>
          <w:tcPr>
            <w:tcW w:type="dxa" w:w="4320"/>
          </w:tcPr>
          <w:p>
            <w:r>
              <w:t>Oförändrade volymer. (KL-Vårdportalen avslutades 2026-03.)</w:t>
            </w:r>
          </w:p>
        </w:tc>
      </w:tr>
      <w:tr>
        <w:tc>
          <w:tcPr>
            <w:tcW w:type="dxa" w:w="4320"/>
          </w:tcPr>
          <w:p>
            <w:r>
              <w:t>TS-Produktionsportal</w:t>
            </w:r>
          </w:p>
        </w:tc>
        <w:tc>
          <w:tcPr>
            <w:tcW w:type="dxa" w:w="4320"/>
          </w:tcPr>
          <w:p>
            <w:r>
              <w:t>Slutleverans 2026-03-31. (Blev 8 veckor försenad.)</w:t>
            </w:r>
          </w:p>
        </w:tc>
      </w:tr>
    </w:tbl>
    <w:p>
      <w:r>
        <w:rPr>
          <w:b w:val="0"/>
          <w:i w:val="0"/>
        </w:rPr>
        <w:t>Risker i budgeten: prispress hos SMB-kunder, beroende av enskilda konsulter samt indexklausuler som kräver aktiv faktureringshantering.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