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Projektstatusrapport – SU-Produktionssystem</w:t>
      </w:r>
    </w:p>
    <w:p>
      <w:r>
        <w:rPr>
          <w:b/>
        </w:rPr>
        <w:t xml:space="preserve">Datum: </w:t>
      </w:r>
      <w:r>
        <w:rPr>
          <w:b w:val="0"/>
        </w:rPr>
        <w:t>2026-06-30</w:t>
      </w:r>
    </w:p>
    <w:p>
      <w:r>
        <w:rPr>
          <w:b/>
        </w:rPr>
        <w:t xml:space="preserve">Upprättad av: </w:t>
      </w:r>
      <w:r>
        <w:rPr>
          <w:b w:val="0"/>
        </w:rPr>
        <w:t>Karin Olsson, projektledare</w:t>
      </w:r>
    </w:p>
    <w:p>
      <w:r>
        <w:rPr>
          <w:b/>
        </w:rPr>
        <w:t xml:space="preserve">Dokument-ID: </w:t>
      </w:r>
      <w:r>
        <w:rPr>
          <w:b w:val="0"/>
        </w:rPr>
        <w:t>DOC-PRJ-007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Sundbygdens Varv AB (PRJ-029)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Fält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GRÖN</w:t>
            </w:r>
          </w:p>
        </w:tc>
      </w:tr>
      <w:tr>
        <w:tc>
          <w:tcPr>
            <w:tcW w:type="dxa" w:w="4320"/>
          </w:tcPr>
          <w:p>
            <w:r>
              <w:t>Planerad slutleverans</w:t>
            </w:r>
          </w:p>
        </w:tc>
        <w:tc>
          <w:tcPr>
            <w:tcW w:type="dxa" w:w="4320"/>
          </w:tcPr>
          <w:p>
            <w:r>
              <w:t>2026-11-30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1 950 000 kr fast pris (CTR-2026-001)</w:t>
            </w:r>
          </w:p>
        </w:tc>
      </w:tr>
      <w:tr>
        <w:tc>
          <w:tcPr>
            <w:tcW w:type="dxa" w:w="4320"/>
          </w:tcPr>
          <w:p>
            <w:r>
              <w:t>Fakturerat t.o.m. juni</w:t>
            </w:r>
          </w:p>
        </w:tc>
        <w:tc>
          <w:tcPr>
            <w:tcW w:type="dxa" w:w="4320"/>
          </w:tcPr>
          <w:p>
            <w:r>
              <w:t>1 300 000 kr</w:t>
            </w:r>
          </w:p>
        </w:tc>
      </w:tr>
      <w:tr>
        <w:tc>
          <w:tcPr>
            <w:tcW w:type="dxa" w:w="4320"/>
          </w:tcPr>
          <w:p>
            <w:r>
              <w:t>Viteklausul</w:t>
            </w:r>
          </w:p>
        </w:tc>
        <w:tc>
          <w:tcPr>
            <w:tcW w:type="dxa" w:w="4320"/>
          </w:tcPr>
          <w:p>
            <w:r>
              <w:t>1 %/vecka, tak 10 %; källkodsdepå hos tredje part krävs</w:t>
            </w:r>
          </w:p>
        </w:tc>
      </w:tr>
    </w:tbl>
    <w:p>
      <w:r>
        <w:rPr>
          <w:b/>
          <w:i w:val="0"/>
        </w:rPr>
        <w:t>Notering</w:t>
      </w:r>
    </w:p>
    <w:p>
      <w:r>
        <w:rPr>
          <w:b w:val="0"/>
          <w:i w:val="0"/>
        </w:rPr>
        <w:t>Projektet övertogs av Karin Olsson efter Magnus Ryds avgång 2026-03-31.</w:t>
      </w:r>
    </w:p>
    <w:p>
      <w:r>
        <w:rPr>
          <w:b/>
          <w:i w:val="0"/>
        </w:rPr>
        <w:t>Risker</w:t>
      </w:r>
    </w:p>
    <w:p>
      <w:r>
        <w:rPr>
          <w:b w:val="0"/>
          <w:i w:val="0"/>
        </w:rPr>
        <w:t>Källkodsdepån ännu inte upprättad hos tredje part – måste vara på plats före driftsättning.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