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Vakthuset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SIN-2026-0055</w:t>
      </w:r>
    </w:p>
    <w:p>
      <w:r>
        <w:rPr>
          <w:b/>
        </w:rPr>
        <w:t xml:space="preserve">Fakturadatum: </w:t>
      </w:r>
      <w:r>
        <w:rPr>
          <w:b w:val="0"/>
        </w:rPr>
        <w:t>2026-02-19</w:t>
      </w:r>
    </w:p>
    <w:p>
      <w:r>
        <w:rPr>
          <w:b/>
        </w:rPr>
        <w:t xml:space="preserve">Förfallodatum: </w:t>
      </w:r>
      <w:r>
        <w:rPr>
          <w:b w:val="0"/>
        </w:rPr>
        <w:t>2026-03-21</w:t>
      </w:r>
    </w:p>
    <w:p>
      <w:r>
        <w:rPr>
          <w:b/>
        </w:rPr>
        <w:t xml:space="preserve">Avser: </w:t>
      </w:r>
      <w:r>
        <w:rPr>
          <w:b w:val="0"/>
        </w:rPr>
        <w:t>Monitoring Vakthuset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Monitoring Vakthuset</w:t>
            </w:r>
          </w:p>
        </w:tc>
        <w:tc>
          <w:tcPr>
            <w:tcW w:type="dxa" w:w="2160"/>
          </w:tcPr>
          <w:p>
            <w:r>
              <w:t>6 800,00</w:t>
            </w:r>
          </w:p>
        </w:tc>
        <w:tc>
          <w:tcPr>
            <w:tcW w:type="dxa" w:w="2160"/>
          </w:tcPr>
          <w:p>
            <w:r>
              <w:t>1 700,00</w:t>
            </w:r>
          </w:p>
        </w:tc>
        <w:tc>
          <w:tcPr>
            <w:tcW w:type="dxa" w:w="2160"/>
          </w:tcPr>
          <w:p>
            <w:r>
              <w:t>8 500,00</w:t>
            </w:r>
          </w:p>
        </w:tc>
      </w:tr>
    </w:tbl>
    <w:p>
      <w:pPr>
        <w:jc w:val="right"/>
      </w:pPr>
      <w:r>
        <w:rPr>
          <w:b/>
        </w:rPr>
        <w:t>ATT BETALA: 8 500,00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