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Bankmötesprotokoll – Norrvidden Bank AB</w:t>
      </w:r>
    </w:p>
    <w:p>
      <w:r>
        <w:rPr>
          <w:b/>
        </w:rPr>
        <w:t xml:space="preserve">Datum: </w:t>
      </w:r>
      <w:r>
        <w:rPr>
          <w:b w:val="0"/>
        </w:rPr>
        <w:t>Mötesdatum 2026-03-20</w:t>
      </w:r>
    </w:p>
    <w:p>
      <w:r>
        <w:rPr>
          <w:b/>
        </w:rPr>
        <w:t xml:space="preserve">Upprättad av: </w:t>
      </w:r>
      <w:r>
        <w:rPr>
          <w:b w:val="0"/>
        </w:rPr>
        <w:t>Anders Bergström, CFO</w:t>
      </w:r>
    </w:p>
    <w:p>
      <w:r>
        <w:rPr>
          <w:b/>
        </w:rPr>
        <w:t xml:space="preserve">Version: </w:t>
      </w:r>
      <w:r>
        <w:rPr>
          <w:b w:val="0"/>
        </w:rPr>
        <w:t>v1.0</w:t>
      </w:r>
    </w:p>
    <w:p>
      <w:r>
        <w:rPr>
          <w:b/>
        </w:rPr>
        <w:t xml:space="preserve">Dokument-ID: </w:t>
      </w:r>
      <w:r>
        <w:rPr>
          <w:b w:val="0"/>
        </w:rPr>
        <w:t>DOC-BANK-002</w:t>
      </w:r>
    </w:p>
    <w:p>
      <w:r>
        <w:rPr>
          <w:b w:val="0"/>
          <w:i w:val="0"/>
        </w:rPr>
      </w:r>
    </w:p>
    <w:p>
      <w:r>
        <w:rPr>
          <w:b/>
        </w:rPr>
        <w:t xml:space="preserve">Närvarande: </w:t>
      </w:r>
      <w:r>
        <w:rPr>
          <w:b w:val="0"/>
        </w:rPr>
        <w:t>Lena Pettersson (företagsrådgivare, Norrvidden Bank), Anders Bergström (CFO)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1. Förnyad checkräkningskredit</w:t>
      </w:r>
    </w:p>
    <w:p>
      <w:r>
        <w:rPr>
          <w:b w:val="0"/>
          <w:i w:val="0"/>
        </w:rPr>
        <w:t>Banken bekräftar förnyad checkräkningskredit om 3 000 000 kr till 2026-12-31 under förutsättning av fortsatt covenant-uppfyllelse.</w:t>
      </w:r>
    </w:p>
    <w:p>
      <w:r>
        <w:rPr>
          <w:b w:val="0"/>
          <w:i w:val="0"/>
        </w:rPr>
        <w:t>2. Covenant-status</w:t>
      </w:r>
    </w:p>
    <w:p>
      <w:r>
        <w:rPr>
          <w:b w:val="0"/>
          <w:i w:val="0"/>
        </w:rPr>
        <w:t>Soliditeten uppgick till 41 % per 2025-12-31 och EBITDA var positiv – båda covenants uppfyllda. Bolaget levererar månatliga likviditetsprognoser enligt överenskommelse.</w:t>
      </w:r>
    </w:p>
    <w:p>
      <w:r>
        <w:rPr>
          <w:b w:val="0"/>
          <w:i w:val="0"/>
        </w:rPr>
        <w:t>3. Bankens synpunkter</w:t>
      </w:r>
    </w:p>
    <w:p>
      <w:r>
        <w:rPr>
          <w:b w:val="0"/>
          <w:i w:val="0"/>
        </w:rPr>
        <w:t>Banken noterade kundkoncentrationen mot Skogsbygdens Energi (ca 35 % av omsättningen) och bad om återkoppling på spridningsplanen vid nästa möte (2026-06-15).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Åtgärd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Ansvarig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Klart senast</w:t>
            </w:r>
          </w:p>
        </w:tc>
      </w:tr>
      <w:tr>
        <w:tc>
          <w:tcPr>
            <w:tcW w:type="dxa" w:w="2880"/>
          </w:tcPr>
          <w:p>
            <w:r>
              <w:t>Återkoppling spridningsplan</w:t>
            </w:r>
          </w:p>
        </w:tc>
        <w:tc>
          <w:tcPr>
            <w:tcW w:type="dxa" w:w="2880"/>
          </w:tcPr>
          <w:p>
            <w:r>
              <w:t>Maja Lindqvist</w:t>
            </w:r>
          </w:p>
        </w:tc>
        <w:tc>
          <w:tcPr>
            <w:tcW w:type="dxa" w:w="2880"/>
          </w:tcPr>
          <w:p>
            <w:r>
              <w:t>2026-06-15</w:t>
            </w:r>
          </w:p>
        </w:tc>
      </w:tr>
      <w:tr>
        <w:tc>
          <w:tcPr>
            <w:tcW w:type="dxa" w:w="2880"/>
          </w:tcPr>
          <w:p>
            <w:r>
              <w:t>Nästa covenant-rapport (Q2)</w:t>
            </w:r>
          </w:p>
        </w:tc>
        <w:tc>
          <w:tcPr>
            <w:tcW w:type="dxa" w:w="2880"/>
          </w:tcPr>
          <w:p>
            <w:r>
              <w:t>Anders Bergström</w:t>
            </w:r>
          </w:p>
        </w:tc>
        <w:tc>
          <w:tcPr>
            <w:tcW w:type="dxa" w:w="2880"/>
          </w:tcPr>
          <w:p>
            <w:r>
              <w:t>2026-05-15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