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Bokslutskommuniké FY2025 (2024-10-01 – 2025-09-30)</w:t>
      </w:r>
    </w:p>
    <w:p>
      <w:r>
        <w:rPr>
          <w:b/>
        </w:rPr>
        <w:t xml:space="preserve">Datum: </w:t>
      </w:r>
      <w:r>
        <w:rPr>
          <w:b w:val="0"/>
        </w:rPr>
        <w:t>Publicerad 2025-11-24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DOC-FIN-001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Nordviken Digital AB (559245-1673) redovisar härmed bokslutskommuniké för räkenskapsåret 2024-10-01 – 2025-09-30.</w:t>
      </w:r>
    </w:p>
    <w:p>
      <w:r>
        <w:rPr>
          <w:b w:val="0"/>
          <w:i w:val="0"/>
        </w:rPr>
        <w:t>Nettoomsättningen uppgick till 42 638 187 kr (42,6 MSEK). Rörelseresultatet uppgick till −209 936 kr och det finansiella nettot till −54 363 kr. Årets resultat efter skatt uppgick till −264 298 kr. Ingen bolagsskatt belastar året (underskottsavdrag utnyttjas framåt).</w:t>
      </w:r>
    </w:p>
    <w:p>
      <w:r>
        <w:rPr>
          <w:b w:val="0"/>
          <w:i w:val="0"/>
        </w:rPr>
        <w:t>Skogsbygdens Energi AB svarade för 27,8 % av omsättningen under året.</w:t>
      </w:r>
    </w:p>
    <w:p>
      <w:r>
        <w:rPr>
          <w:b w:val="0"/>
          <w:i w:val="0"/>
        </w:rPr>
        <w:t>Året präglades av lägre beläggning under våren, kundförluster och en tvistig slutfaktura mot Örby Handel &amp; Logistik AB (96 800 kr inkl. moms hålls inne av kunden). Likviditeten var som mest ansträngd i mars, då checkräkningskrediten utnyttjades till 1 180 000 kr.</w:t>
      </w:r>
    </w:p>
    <w:p>
      <w:r>
        <w:rPr>
          <w:b w:val="0"/>
          <w:i w:val="0"/>
        </w:rPr>
        <w:t>Styrelsen föreslår att ingen utdelning lämnas för räkenskapsåret. Utdelningsfrågan skjuts till årsstämman.</w:t>
      </w:r>
    </w:p>
    <w:p>
      <w:r>
        <w:rPr>
          <w:b w:val="0"/>
          <w:i w:val="0"/>
        </w:rPr>
        <w:t>Årsstämma hålls i mars 2026. Årsredovisningen publiceras i november 2025 efter revision.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