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Halvårsvis riskgenomgång</w:t>
      </w:r>
    </w:p>
    <w:p>
      <w:r>
        <w:rPr>
          <w:b/>
        </w:rPr>
        <w:t xml:space="preserve">Datum: </w:t>
      </w:r>
      <w:r>
        <w:rPr>
          <w:b w:val="0"/>
        </w:rPr>
        <w:t>2024-12-20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DOC-MGMT-002</w:t>
      </w:r>
    </w:p>
    <w:p>
      <w:r>
        <w:rPr>
          <w:b w:val="0"/>
          <w:i w:val="0"/>
        </w:rPr>
      </w:r>
    </w:p>
    <w:p>
      <w:r>
        <w:rPr>
          <w:b/>
          <w:i w:val="0"/>
        </w:rPr>
        <w:t>1. Riskgenomgång</w:t>
      </w:r>
    </w:p>
    <w:p>
      <w:r>
        <w:rPr>
          <w:b w:val="0"/>
          <w:i w:val="0"/>
        </w:rPr>
        <w:t>Anders presenterade uppdaterat riskregister (DOC-RISK-001 v1.0). Topprisker: kundkoncentration SEAB, nyckelpersonsberoende (Daniel Nyström data/AI, Tomas Berg arkitektur), avtalsrisk ÖH (obegränsat ansvar).</w:t>
      </w:r>
    </w:p>
    <w:p>
      <w:r>
        <w:rPr>
          <w:b w:val="0"/>
          <w:i w:val="0"/>
        </w:rPr>
        <w:t>Beslut: Riskregistret skickas till styrelsen; nyckelpersonsrisken och SEAB-beroendet lyfts till nästa styrelsemöte.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NH-Logistikportal</w:t>
      </w:r>
    </w:p>
    <w:p>
      <w:r>
        <w:rPr>
          <w:b w:val="0"/>
          <w:i w:val="0"/>
        </w:rPr>
        <w:t>Norrhamns Hamn har klagat på prestanda för tredje gången (se DOC-COM-001). Erik ansvarar för åtgärdsplan: prestandatest + hotfix senast 2025-01-31.</w:t>
      </w:r>
    </w:p>
    <w:p>
      <w:r>
        <w:rPr>
          <w:b w:val="0"/>
          <w:i w:val="0"/>
        </w:rPr>
      </w:r>
    </w:p>
    <w:p>
      <w:r>
        <w:rPr>
          <w:b/>
          <w:i w:val="0"/>
        </w:rPr>
        <w:t>3. Övrigt</w:t>
      </w:r>
    </w:p>
    <w:p>
      <w:r>
        <w:rPr>
          <w:b w:val="0"/>
          <w:i w:val="0"/>
        </w:rPr>
        <w:t>Klagomålshantering: alla kundklagomål ska loggas i klagomålsregistret.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