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Analytics Cloud Inc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SIN-2025-0119</w:t>
      </w:r>
    </w:p>
    <w:p>
      <w:r>
        <w:rPr>
          <w:b/>
        </w:rPr>
        <w:t xml:space="preserve">Fakturadatum: </w:t>
      </w:r>
      <w:r>
        <w:rPr>
          <w:b w:val="0"/>
        </w:rPr>
        <w:t>2025-04-20</w:t>
      </w:r>
    </w:p>
    <w:p>
      <w:r>
        <w:rPr>
          <w:b/>
        </w:rPr>
        <w:t xml:space="preserve">Förfallodatum: </w:t>
      </w:r>
      <w:r>
        <w:rPr>
          <w:b w:val="0"/>
        </w:rPr>
        <w:t>2025-05-20</w:t>
      </w:r>
    </w:p>
    <w:p>
      <w:r>
        <w:rPr>
          <w:b/>
        </w:rPr>
        <w:t xml:space="preserve">Avser: </w:t>
      </w:r>
      <w:r>
        <w:rPr>
          <w:b w:val="0"/>
        </w:rPr>
        <w:t>Analysmolntjänst (USA)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p>
      <w:r>
        <w:rPr>
          <w:b w:val="0"/>
          <w:i/>
        </w:rPr>
        <w:t>Omvänd skattskyldighet – moms redovisas av köparen.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Analysmolntjänst (USA)</w:t>
            </w:r>
          </w:p>
        </w:tc>
        <w:tc>
          <w:tcPr>
            <w:tcW w:type="dxa" w:w="2160"/>
          </w:tcPr>
          <w:p>
            <w:r>
              <w:t>6 200,00</w:t>
            </w:r>
          </w:p>
        </w:tc>
        <w:tc>
          <w:tcPr>
            <w:tcW w:type="dxa" w:w="2160"/>
          </w:tcPr>
          <w:p>
            <w:r>
              <w:t>1 550,00</w:t>
            </w:r>
          </w:p>
        </w:tc>
        <w:tc>
          <w:tcPr>
            <w:tcW w:type="dxa" w:w="2160"/>
          </w:tcPr>
          <w:p>
            <w:r>
              <w:t>7 750,00</w:t>
            </w:r>
          </w:p>
        </w:tc>
      </w:tr>
    </w:tbl>
    <w:p>
      <w:pPr>
        <w:jc w:val="right"/>
      </w:pPr>
      <w:r>
        <w:rPr>
          <w:b/>
        </w:rPr>
        <w:t>ATT BETALA: 7 750,00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