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INV-2026-0172</w:t>
      </w:r>
    </w:p>
    <w:p>
      <w:r>
        <w:rPr>
          <w:b/>
        </w:rPr>
        <w:t xml:space="preserve">Fakturadatum: </w:t>
      </w:r>
      <w:r>
        <w:rPr>
          <w:b w:val="0"/>
        </w:rPr>
        <w:t>2026-05-28</w:t>
      </w:r>
    </w:p>
    <w:p>
      <w:r>
        <w:rPr>
          <w:b/>
        </w:rPr>
        <w:t xml:space="preserve">Förfallodatum: </w:t>
      </w:r>
      <w:r>
        <w:rPr>
          <w:b w:val="0"/>
        </w:rPr>
        <w:t>2026-06-27</w:t>
      </w:r>
    </w:p>
    <w:p>
      <w:r>
        <w:rPr>
          <w:b/>
        </w:rPr>
        <w:t xml:space="preserve">Er referens: </w:t>
      </w:r>
      <w:r>
        <w:rPr>
          <w:b w:val="0"/>
        </w:rPr>
        <w:t>2026-05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Kustbandets Färjor AB</w:t>
      </w:r>
    </w:p>
    <w:p>
      <w:r>
        <w:rPr>
          <w:b w:val="0"/>
          <w:i w:val="0"/>
        </w:rPr>
        <w:t xml:space="preserve">Projekt: P-2408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2026-05 (192.8 timmar à 1150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221 720,00</w:t>
            </w:r>
          </w:p>
        </w:tc>
        <w:tc>
          <w:tcPr>
            <w:tcW w:type="dxa" w:w="1728"/>
          </w:tcPr>
          <w:p>
            <w:r>
              <w:t>55 430,00</w:t>
            </w:r>
          </w:p>
        </w:tc>
        <w:tc>
          <w:tcPr>
            <w:tcW w:type="dxa" w:w="1728"/>
          </w:tcPr>
          <w:p>
            <w:r>
              <w:t>277 150,00</w:t>
            </w:r>
          </w:p>
        </w:tc>
      </w:tr>
    </w:tbl>
    <w:p>
      <w:pPr>
        <w:jc w:val="right"/>
      </w:pPr>
      <w:r>
        <w:rPr>
          <w:b/>
        </w:rPr>
        <w:t>ATT BETALA: 277 150,00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