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KPI-rapport – september 2026</w:t>
      </w:r>
    </w:p>
    <w:p>
      <w:r>
        <w:rPr>
          <w:b/>
        </w:rPr>
        <w:t xml:space="preserve">Datum: </w:t>
      </w:r>
      <w:r>
        <w:rPr>
          <w:b w:val="0"/>
        </w:rPr>
        <w:t>Upprättad 2026-10-05</w:t>
      </w:r>
    </w:p>
    <w:p>
      <w:r>
        <w:rPr>
          <w:b/>
        </w:rPr>
        <w:t xml:space="preserve">Upprättad av: </w:t>
      </w:r>
      <w:r>
        <w:rPr>
          <w:b w:val="0"/>
        </w:rPr>
        <w:t>Anders Bergström, CFO</w:t>
      </w:r>
    </w:p>
    <w:p>
      <w:r>
        <w:rPr>
          <w:b/>
        </w:rPr>
        <w:t xml:space="preserve">Version: </w:t>
      </w:r>
      <w:r>
        <w:rPr>
          <w:b w:val="0"/>
        </w:rPr>
        <w:t>v1.0</w:t>
      </w:r>
    </w:p>
    <w:p>
      <w:r>
        <w:rPr>
          <w:b/>
        </w:rPr>
        <w:t xml:space="preserve">Dokument-ID: </w:t>
      </w:r>
      <w:r>
        <w:rPr>
          <w:b w:val="0"/>
        </w:rPr>
        <w:t>DOC-MGMT-012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KPI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Utfall sep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Mål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Status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Kommentar</w:t>
            </w:r>
          </w:p>
        </w:tc>
      </w:tr>
      <w:tr>
        <w:tc>
          <w:tcPr>
            <w:tcW w:type="dxa" w:w="1728"/>
          </w:tcPr>
          <w:p>
            <w:r>
              <w:t>Beläggning leveransteamet</w:t>
            </w:r>
          </w:p>
        </w:tc>
        <w:tc>
          <w:tcPr>
            <w:tcW w:type="dxa" w:w="1728"/>
          </w:tcPr>
          <w:p>
            <w:r>
              <w:t>88 %</w:t>
            </w:r>
          </w:p>
        </w:tc>
        <w:tc>
          <w:tcPr>
            <w:tcW w:type="dxa" w:w="1728"/>
          </w:tcPr>
          <w:p>
            <w:r>
              <w:t>≥ 82 %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Förbättrad efter sommaren</w:t>
            </w:r>
          </w:p>
        </w:tc>
      </w:tr>
      <w:tr>
        <w:tc>
          <w:tcPr>
            <w:tcW w:type="dxa" w:w="1728"/>
          </w:tcPr>
          <w:p>
            <w:r>
              <w:t>Debiteringsgrad</w:t>
            </w:r>
          </w:p>
        </w:tc>
        <w:tc>
          <w:tcPr>
            <w:tcW w:type="dxa" w:w="1728"/>
          </w:tcPr>
          <w:p>
            <w:r>
              <w:t>91 %</w:t>
            </w:r>
          </w:p>
        </w:tc>
        <w:tc>
          <w:tcPr>
            <w:tcW w:type="dxa" w:w="1728"/>
          </w:tcPr>
          <w:p>
            <w:r>
              <w:t>≥ 90 %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Sjukfrånvaro (rullande 12 mån)</w:t>
            </w:r>
          </w:p>
        </w:tc>
        <w:tc>
          <w:tcPr>
            <w:tcW w:type="dxa" w:w="1728"/>
          </w:tcPr>
          <w:p>
            <w:r>
              <w:t>4,4 %</w:t>
            </w:r>
          </w:p>
        </w:tc>
        <w:tc>
          <w:tcPr>
            <w:tcW w:type="dxa" w:w="1728"/>
          </w:tcPr>
          <w:p>
            <w:r>
              <w:t>≤ 4 %</w:t>
            </w:r>
          </w:p>
        </w:tc>
        <w:tc>
          <w:tcPr>
            <w:tcW w:type="dxa" w:w="1728"/>
          </w:tcPr>
          <w:p>
            <w:r>
              <w:t>Avvikelse</w:t>
            </w:r>
          </w:p>
        </w:tc>
        <w:tc>
          <w:tcPr>
            <w:tcW w:type="dxa" w:w="1728"/>
          </w:tcPr>
          <w:p>
            <w:r>
              <w:t>Leveransteamet högre (se HR-rapport)</w:t>
            </w:r>
          </w:p>
        </w:tc>
      </w:tr>
      <w:tr>
        <w:tc>
          <w:tcPr>
            <w:tcW w:type="dxa" w:w="1728"/>
          </w:tcPr>
          <w:p>
            <w:r>
              <w:t>Kundnöjdhet (NPS)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≥ 40</w:t>
            </w:r>
          </w:p>
        </w:tc>
        <w:tc>
          <w:tcPr>
            <w:tcW w:type="dxa" w:w="1728"/>
          </w:tcPr>
          <w:p>
            <w:r>
              <w:t>Avvikelse</w:t>
            </w:r>
          </w:p>
        </w:tc>
        <w:tc>
          <w:tcPr>
            <w:tcW w:type="dxa" w:w="1728"/>
          </w:tcPr>
          <w:p>
            <w:r>
              <w:t>BV-klagomål drar ned</w:t>
            </w:r>
          </w:p>
        </w:tc>
      </w:tr>
      <w:tr>
        <w:tc>
          <w:tcPr>
            <w:tcW w:type="dxa" w:w="1728"/>
          </w:tcPr>
          <w:p>
            <w:r>
              <w:t>Pipeline (öppen)</w:t>
            </w:r>
          </w:p>
        </w:tc>
        <w:tc>
          <w:tcPr>
            <w:tcW w:type="dxa" w:w="1728"/>
          </w:tcPr>
          <w:p>
            <w:r>
              <w:t>13,4 MSEK</w:t>
            </w:r>
          </w:p>
        </w:tc>
        <w:tc>
          <w:tcPr>
            <w:tcW w:type="dxa" w:w="1728"/>
          </w:tcPr>
          <w:p>
            <w:r>
              <w:t>≥ 12 MSEK</w:t>
            </w:r>
          </w:p>
        </w:tc>
        <w:tc>
          <w:tcPr>
            <w:tcW w:type="dxa" w:w="1728"/>
          </w:tcPr>
          <w:p>
            <w:r>
              <w:t>OK</w:t>
            </w:r>
          </w:p>
        </w:tc>
        <w:tc>
          <w:tcPr>
            <w:tcW w:type="dxa" w:w="1728"/>
          </w:tcPr>
          <w:p>
            <w:r>
              <w:t>Varav committed 10,8 MSEK</w:t>
            </w:r>
          </w:p>
        </w:tc>
      </w:tr>
      <w:tr>
        <w:tc>
          <w:tcPr>
            <w:tcW w:type="dxa" w:w="1728"/>
          </w:tcPr>
          <w:p>
            <w:r>
              <w:t>SaaS-kostnad per månad</w:t>
            </w:r>
          </w:p>
        </w:tc>
        <w:tc>
          <w:tcPr>
            <w:tcW w:type="dxa" w:w="1728"/>
          </w:tcPr>
          <w:p>
            <w:r>
              <w:t>259 tkr</w:t>
            </w:r>
          </w:p>
        </w:tc>
        <w:tc>
          <w:tcPr>
            <w:tcW w:type="dxa" w:w="1728"/>
          </w:tcPr>
          <w:p>
            <w:r>
              <w:t>≤ 240 tkr</w:t>
            </w:r>
          </w:p>
        </w:tc>
        <w:tc>
          <w:tcPr>
            <w:tcW w:type="dxa" w:w="1728"/>
          </w:tcPr>
          <w:p>
            <w:r>
              <w:t>Avvikelse</w:t>
            </w:r>
          </w:p>
        </w:tc>
        <w:tc>
          <w:tcPr>
            <w:tcW w:type="dxa" w:w="1728"/>
          </w:tcPr>
          <w:p>
            <w:r>
              <w:t>Licensinventering pågår</w:t>
            </w:r>
          </w:p>
        </w:tc>
      </w:tr>
      <w:tr>
        <w:tc>
          <w:tcPr>
            <w:tcW w:type="dxa" w:w="1728"/>
          </w:tcPr>
          <w:p>
            <w:r>
              <w:t>Kundfordringar förfallna</w:t>
            </w:r>
          </w:p>
        </w:tc>
        <w:tc>
          <w:tcPr>
            <w:tcW w:type="dxa" w:w="1728"/>
          </w:tcPr>
          <w:p>
            <w:r>
              <w:t>Se reskontra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Avvikelse</w:t>
            </w:r>
          </w:p>
        </w:tc>
        <w:tc>
          <w:tcPr>
            <w:tcW w:type="dxa" w:w="1728"/>
          </w:tcPr>
          <w:p>
            <w:r>
              <w:t>Blåklintens Vård, Stormvindens Logistik</w:t>
            </w:r>
          </w:p>
        </w:tc>
      </w:tr>
    </w:tbl>
    <w:p>
      <w:r>
        <w:rPr>
          <w:b w:val="0"/>
          <w:i w:val="0"/>
        </w:rPr>
        <w:t>Prognos Q4 (jul–sep, avslutat kvartal): nettoomsättningen för Q4 beräknas till 12,4 MSEK. Prognosen för helåret bekräftas till cirka 54 MSEK netto.</w:t>
      </w:r>
    </w:p>
    <w:p>
      <w:r>
        <w:rPr>
          <w:b w:val="0"/>
          <w:i w:val="0"/>
        </w:rPr>
        <w:t>Not: Rapporten sammanställs manuellt varje vecka (ca 4 timmar) och distribueras till ledningsgruppen; i praktiken används den främst inför styrelsemöten.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