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Kostnadsprogram inför FY27</w:t>
      </w:r>
    </w:p>
    <w:p>
      <w:r>
        <w:rPr>
          <w:b/>
        </w:rPr>
        <w:t xml:space="preserve">Datum: </w:t>
      </w:r>
      <w:r>
        <w:rPr>
          <w:b w:val="0"/>
        </w:rPr>
        <w:t>2026-08-20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DOC-MGMT-009</w:t>
      </w:r>
    </w:p>
    <w:p>
      <w:r>
        <w:rPr>
          <w:b w:val="0"/>
          <w:i w:val="0"/>
        </w:rPr>
      </w:r>
    </w:p>
    <w:p>
      <w:r>
        <w:rPr>
          <w:b/>
          <w:i w:val="0"/>
        </w:rPr>
        <w:t>1. Kostnadsöversyn</w:t>
      </w:r>
    </w:p>
    <w:p>
      <w:r>
        <w:rPr>
          <w:b w:val="0"/>
          <w:i w:val="0"/>
        </w:rPr>
        <w:t>Beslut: Kostnadsprogram inför FY27: (a) licensinventering av samtliga SaaS-verktyg (klar 2026-08-25), (b) utvärdering av underutnyttjade verktyg (Designsuiten 9 av 18 licenser används, Datainsikt 2 av 10), (c) pausad rekrytering med undantag för supportansvarig, (d) översyn av underkonsultanvändningen.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Nordhost-driftstörningen</w:t>
      </w:r>
    </w:p>
    <w:p>
      <w:r>
        <w:rPr>
          <w:b w:val="0"/>
          <w:i w:val="0"/>
        </w:rPr>
        <w:t>Jonas redogjorde för driftstörningen 2026-08-04 (6 timmar). SLA-ersättning diskuteras med Nordhost. Reservrutin för hosting saknas – åtgärdas i DR/BCP-planen.</w:t>
      </w:r>
    </w:p>
    <w:p>
      <w:r>
        <w:rPr>
          <w:b w:val="0"/>
          <w:i w:val="0"/>
        </w:rPr>
      </w:r>
    </w:p>
    <w:p>
      <w:r>
        <w:rPr>
          <w:b/>
          <w:i w:val="0"/>
        </w:rPr>
        <w:t>3. AI-incidenter</w:t>
      </w:r>
    </w:p>
    <w:p>
      <w:r>
        <w:rPr>
          <w:b w:val="0"/>
          <w:i w:val="0"/>
        </w:rPr>
        <w:t>Daniel ska införa loggning av AI-användning före 2026-09-30.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