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 w:val="0"/>
          <w:i/>
        </w:rPr>
        <w:t>Nordviken Digital AB  ·  Org.nr 559245-1673  ·  Kajplatsen 4, 115 27 Stockholm</w:t>
      </w:r>
    </w:p>
    <w:p>
      <w:pPr>
        <w:pStyle w:val="Title"/>
      </w:pPr>
      <w:r>
        <w:t>Slutrapport – SE-Billing (ny faktureringsplattform)</w:t>
      </w:r>
    </w:p>
    <w:p>
      <w:r>
        <w:rPr>
          <w:b/>
        </w:rPr>
        <w:t xml:space="preserve">Datum: </w:t>
      </w:r>
      <w:r>
        <w:rPr>
          <w:b w:val="0"/>
        </w:rPr>
        <w:t>2026-07-15</w:t>
      </w:r>
    </w:p>
    <w:p>
      <w:r>
        <w:rPr>
          <w:b/>
        </w:rPr>
        <w:t xml:space="preserve">Upprättad av: </w:t>
      </w:r>
      <w:r>
        <w:rPr>
          <w:b w:val="0"/>
        </w:rPr>
        <w:t>David Ekström, projektledare</w:t>
      </w:r>
    </w:p>
    <w:p>
      <w:r>
        <w:rPr>
          <w:b/>
        </w:rPr>
        <w:t xml:space="preserve">Version: </w:t>
      </w:r>
      <w:r>
        <w:rPr>
          <w:b w:val="0"/>
        </w:rPr>
        <w:t>v1.0</w:t>
      </w:r>
    </w:p>
    <w:p>
      <w:r>
        <w:rPr>
          <w:b/>
        </w:rPr>
        <w:t xml:space="preserve">Dokument-ID: </w:t>
      </w:r>
      <w:r>
        <w:rPr>
          <w:b w:val="0"/>
        </w:rPr>
        <w:t>DOC-PRJ-030</w:t>
      </w:r>
    </w:p>
    <w:p>
      <w:r>
        <w:rPr>
          <w:b w:val="0"/>
          <w:i w:val="0"/>
        </w:rPr>
      </w:r>
    </w:p>
    <w:p>
      <w:r>
        <w:rPr>
          <w:b/>
        </w:rPr>
        <w:t xml:space="preserve">Kund: </w:t>
      </w:r>
      <w:r>
        <w:rPr>
          <w:b w:val="0"/>
        </w:rPr>
        <w:t>Skogsbygdens Energi AB (PRJ-001, CTR-2023-002 + CTR-2026-004)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b/>
              </w:rPr>
              <w:t>Fält</w:t>
            </w:r>
          </w:p>
        </w:tc>
        <w:tc>
          <w:tcPr>
            <w:tcW w:type="dxa" w:w="4320"/>
          </w:tcPr>
          <w:p>
            <w:r/>
            <w:r>
              <w:rPr>
                <w:b/>
              </w:rPr>
              <w:t>Värde</w:t>
            </w:r>
          </w:p>
        </w:tc>
      </w:tr>
      <w:tr>
        <w:tc>
          <w:tcPr>
            <w:tcW w:type="dxa" w:w="4320"/>
          </w:tcPr>
          <w:p>
            <w:r>
              <w:t>Projektperiod</w:t>
            </w:r>
          </w:p>
        </w:tc>
        <w:tc>
          <w:tcPr>
            <w:tcW w:type="dxa" w:w="4320"/>
          </w:tcPr>
          <w:p>
            <w:r>
              <w:t>2024-10-01 – 2026-07-15</w:t>
            </w:r>
          </w:p>
        </w:tc>
      </w:tr>
      <w:tr>
        <w:tc>
          <w:tcPr>
            <w:tcW w:type="dxa" w:w="4320"/>
          </w:tcPr>
          <w:p>
            <w:r>
              <w:t>Ekonomi</w:t>
            </w:r>
          </w:p>
        </w:tc>
        <w:tc>
          <w:tcPr>
            <w:tcW w:type="dxa" w:w="4320"/>
          </w:tcPr>
          <w:p>
            <w:r>
              <w:t>Fast pris 9 400 000 kr + tillägg 800 000 kr = 10 200 000 kr</w:t>
            </w:r>
          </w:p>
        </w:tc>
      </w:tr>
      <w:tr>
        <w:tc>
          <w:tcPr>
            <w:tcW w:type="dxa" w:w="4320"/>
          </w:tcPr>
          <w:p>
            <w:r>
              <w:t>Slutleverans</w:t>
            </w:r>
          </w:p>
        </w:tc>
        <w:tc>
          <w:tcPr>
            <w:tcW w:type="dxa" w:w="4320"/>
          </w:tcPr>
          <w:p>
            <w:r>
              <w:t>2026-07-15 – godkänd av kunden</w:t>
            </w:r>
          </w:p>
        </w:tc>
      </w:tr>
      <w:tr>
        <w:tc>
          <w:tcPr>
            <w:tcW w:type="dxa" w:w="4320"/>
          </w:tcPr>
          <w:p>
            <w:r>
              <w:t>Total försening</w:t>
            </w:r>
          </w:p>
        </w:tc>
        <w:tc>
          <w:tcPr>
            <w:tcW w:type="dxa" w:w="4320"/>
          </w:tcPr>
          <w:p>
            <w:r>
              <w:t>cirka 15 veckor mot ursprunglig plan</w:t>
            </w:r>
          </w:p>
        </w:tc>
      </w:tr>
      <w:tr>
        <w:tc>
          <w:tcPr>
            <w:tcW w:type="dxa" w:w="4320"/>
          </w:tcPr>
          <w:p>
            <w:r>
              <w:t>Underkonsulter</w:t>
            </w:r>
          </w:p>
        </w:tc>
        <w:tc>
          <w:tcPr>
            <w:tcW w:type="dxa" w:w="4320"/>
          </w:tcPr>
          <w:p>
            <w:r>
              <w:t>Kraftkod Konsult AB (2 utvecklare)</w:t>
            </w:r>
          </w:p>
        </w:tc>
      </w:tr>
    </w:tbl>
    <w:p>
      <w:r>
        <w:rPr>
          <w:b w:val="0"/>
          <w:i w:val="0"/>
        </w:rPr>
        <w:t>Sammanfattning</w:t>
      </w:r>
    </w:p>
    <w:p>
      <w:r>
        <w:rPr>
          <w:b w:val="0"/>
          <w:i w:val="0"/>
        </w:rPr>
        <w:t>SE-Billing slutlevererades och godkändes 2026-07-15. Förseningen förklaras främst av omfattningsändringar och senare tillskott av underkonsulter. Slutmilstolpen om 800 000 kr faktureras i juli.</w:t>
      </w:r>
    </w:p>
    <w:p>
      <w:r>
        <w:rPr>
          <w:b w:val="0"/>
          <w:i w:val="0"/>
        </w:rPr>
        <w:t>Lärdomar: (1) fastprisprojekt med omfattningsändringar kräver formell change management från start, (2) underkonsulter behöver onboardingplan, (3) kundens acceptanstest bör resursplaneras tidigt.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