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Trädkronans Skog AB (nedan "Part B"). Parterna benämns gemensamt "Parterna".</w:t>
      </w:r>
    </w:p>
    <w:p>
      <w:r>
        <w:rPr>
          <w:b w:val="0"/>
          <w:i w:val="0"/>
        </w:rPr>
        <w:t>Avtalsdatum: 20.11.2025</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Trädkronans Skog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