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Maria Gustavsson, Stockholm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Testledare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02.11.2020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52 000,00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§ 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§ 2. Arbetsuppgifter</w:t>
      </w:r>
    </w:p>
    <w:p>
      <w:r>
        <w:rPr>
          <w:b w:val="0"/>
          <w:i w:val="0"/>
        </w:rPr>
        <w:t>Arbetstagaren anställs som testledare.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§ 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§ 4. Lön och förmåner</w:t>
      </w:r>
    </w:p>
    <w:p>
      <w:r>
        <w:rPr>
          <w:b w:val="0"/>
          <w:i w:val="0"/>
        </w:rPr>
        <w:t>Månadslönen uppgår till 52 000,00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§ 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§ 6. Sekretess</w:t>
      </w:r>
    </w:p>
    <w:p>
      <w:r>
        <w:rPr>
          <w:b w:val="0"/>
          <w:i w:val="0"/>
        </w:rPr>
        <w:t>Arbetstagaren är bunden av bifogad sekretessförbindelse, Sekretessbilaga 2018-03-01, som utgör en integrerad del av detta avtal.</w:t>
      </w:r>
    </w:p>
    <w:p>
      <w:pPr>
        <w:pStyle w:val="Heading2"/>
      </w:pPr>
      <w:r>
        <w:t>§ 7. Konkurrensklausul</w:t>
      </w:r>
    </w:p>
    <w:p>
      <w:r>
        <w:rPr>
          <w:b w:val="0"/>
          <w:i w:val="0"/>
        </w:rPr>
        <w:t>Arbetstagaren förbinder sig att under sex (6) månader efter anställningens upphörande inte bedriva, direkt eller indirekt, verksamhet som konkurrerar med arbetsgivarens verksamhet inom arbetsgivarens verksamhetsområde.</w:t>
      </w:r>
    </w:p>
    <w:p>
      <w:pPr>
        <w:pStyle w:val="Heading2"/>
      </w:pPr>
      <w:r>
        <w:t>§ 8.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§ 9.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§ 10.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§ 11.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§ 12.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2018-03-01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>Befattning: HR- och kontorschef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Maria Gustavsson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