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Gustav Pettersson</w:t>
      </w:r>
    </w:p>
    <w:p>
      <w:r>
        <w:rPr>
          <w:b/>
        </w:rPr>
        <w:t xml:space="preserve">Datum: </w:t>
      </w:r>
      <w:r>
        <w:rPr>
          <w:b w:val="0"/>
        </w:rPr>
        <w:t>2024-11-15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DOC-HR-001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Gustav Pettersson (EMP-032), senior utvecklare</w:t>
      </w:r>
    </w:p>
    <w:p>
      <w:r>
        <w:rPr>
          <w:b/>
        </w:rPr>
        <w:t xml:space="preserve">Sista arbetsdag: </w:t>
      </w:r>
      <w:r>
        <w:rPr>
          <w:b w:val="0"/>
        </w:rPr>
        <w:t>2024-11-15</w:t>
      </w:r>
    </w:p>
    <w:p>
      <w:r>
        <w:rPr>
          <w:b w:val="0"/>
          <w:i w:val="0"/>
        </w:rPr>
        <w:t>Gustav har sagt upp sig på eget initiativ och börjar hos konkurrenten Blå Ocean IT AB.</w:t>
      </w:r>
    </w:p>
    <w:p>
      <w:r>
        <w:rPr>
          <w:b w:val="0"/>
          <w:i w:val="0"/>
        </w:rPr>
        <w:t>I anställningsavtalet finns en konkurrensklausul om 12 månader. Frågan om klausulens giltighet har överlämnats till Advokatfirman Krav &amp; Klar (se DOC-MAIL-001).</w:t>
      </w:r>
    </w:p>
    <w:p>
      <w:r>
        <w:rPr>
          <w:b/>
          <w:i w:val="0"/>
        </w:rPr>
        <w:t>Åtgärder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Rättslig bedömning av konkurrensklausulen</w:t>
            </w:r>
          </w:p>
        </w:tc>
        <w:tc>
          <w:tcPr>
            <w:tcW w:type="dxa" w:w="2880"/>
          </w:tcPr>
          <w:p>
            <w:r>
              <w:t>Maja Lindqvist</w:t>
            </w:r>
          </w:p>
        </w:tc>
        <w:tc>
          <w:tcPr>
            <w:tcW w:type="dxa" w:w="2880"/>
          </w:tcPr>
          <w:p>
            <w:r>
              <w:t>Pågående</w:t>
            </w:r>
          </w:p>
        </w:tc>
      </w:tr>
      <w:tr>
        <w:tc>
          <w:tcPr>
            <w:tcW w:type="dxa" w:w="2880"/>
          </w:tcPr>
          <w:p>
            <w:r>
              <w:t>Överlämning av pågående uppdrag (SE-Billing)</w:t>
            </w:r>
          </w:p>
        </w:tc>
        <w:tc>
          <w:tcPr>
            <w:tcW w:type="dxa" w:w="2880"/>
          </w:tcPr>
          <w:p>
            <w:r>
              <w:t>Erik Norén</w:t>
            </w:r>
          </w:p>
        </w:tc>
        <w:tc>
          <w:tcPr>
            <w:tcW w:type="dxa" w:w="2880"/>
          </w:tcPr>
          <w:p>
            <w:r>
              <w:t>Klart</w:t>
            </w:r>
          </w:p>
        </w:tc>
      </w:tr>
      <w:tr>
        <w:tc>
          <w:tcPr>
            <w:tcW w:type="dxa" w:w="2880"/>
          </w:tcPr>
          <w:p>
            <w:r>
              <w:t>Återlämning av utrustning och behörigheter</w:t>
            </w:r>
          </w:p>
        </w:tc>
        <w:tc>
          <w:tcPr>
            <w:tcW w:type="dxa" w:w="2880"/>
          </w:tcPr>
          <w:p>
            <w:r>
              <w:t>Jonas Sandberg</w:t>
            </w:r>
          </w:p>
        </w:tc>
        <w:tc>
          <w:tcPr>
            <w:tcW w:type="dxa" w:w="2880"/>
          </w:tcPr>
          <w:p>
            <w:r>
              <w:t>Klart</w:t>
            </w:r>
          </w:p>
        </w:tc>
      </w:tr>
    </w:tbl>
    <w:p>
      <w:r>
        <w:rPr>
          <w:b w:val="0"/>
          <w:i w:val="0"/>
        </w:rPr>
        <w:t>Skäl till avgång: bättre ersättning och större ansvar hos konkurrenten.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