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Kapellbacken Fastigheter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SIN-2026-0001</w:t>
      </w:r>
    </w:p>
    <w:p>
      <w:r>
        <w:rPr>
          <w:b/>
        </w:rPr>
        <w:t xml:space="preserve">Fakturadatum: </w:t>
      </w:r>
      <w:r>
        <w:rPr>
          <w:b w:val="0"/>
        </w:rPr>
        <w:t>2026-01-10</w:t>
      </w:r>
    </w:p>
    <w:p>
      <w:r>
        <w:rPr>
          <w:b/>
        </w:rPr>
        <w:t xml:space="preserve">Förfallodatum: </w:t>
      </w:r>
      <w:r>
        <w:rPr>
          <w:b w:val="0"/>
        </w:rPr>
        <w:t>2026-02-09</w:t>
      </w:r>
    </w:p>
    <w:p>
      <w:r>
        <w:rPr>
          <w:b/>
        </w:rPr>
        <w:t xml:space="preserve">Avser: </w:t>
      </w:r>
      <w:r>
        <w:rPr>
          <w:b w:val="0"/>
        </w:rPr>
        <w:t>Lokalhyra</w:t>
      </w:r>
    </w:p>
    <w:p>
      <w:r>
        <w:rPr>
          <w:b/>
        </w:rPr>
        <w:t xml:space="preserve">Konto: </w:t>
      </w:r>
      <w:r>
        <w:rPr>
          <w:b w:val="0"/>
        </w:rPr>
        <w:t>5010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Lokalhyra</w:t>
            </w:r>
          </w:p>
        </w:tc>
        <w:tc>
          <w:tcPr>
            <w:tcW w:type="dxa" w:w="2160"/>
          </w:tcPr>
          <w:p>
            <w:r>
              <w:t>172 000,00</w:t>
            </w:r>
          </w:p>
        </w:tc>
        <w:tc>
          <w:tcPr>
            <w:tcW w:type="dxa" w:w="2160"/>
          </w:tcPr>
          <w:p>
            <w:r>
              <w:t>43 000,00</w:t>
            </w:r>
          </w:p>
        </w:tc>
        <w:tc>
          <w:tcPr>
            <w:tcW w:type="dxa" w:w="2160"/>
          </w:tcPr>
          <w:p>
            <w:r>
              <w:t>215 000,00</w:t>
            </w:r>
          </w:p>
        </w:tc>
      </w:tr>
    </w:tbl>
    <w:p>
      <w:pPr>
        <w:jc w:val="right"/>
      </w:pPr>
      <w:r>
        <w:rPr>
          <w:b/>
        </w:rPr>
        <w:t>ATT BETALA: 215 000,00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