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SE-Billing</w:t>
      </w:r>
    </w:p>
    <w:p>
      <w:r>
        <w:rPr>
          <w:b/>
        </w:rPr>
        <w:t xml:space="preserve">Datum: </w:t>
      </w:r>
      <w:r>
        <w:rPr>
          <w:b w:val="0"/>
        </w:rPr>
        <w:t>2026-02-10</w:t>
      </w:r>
    </w:p>
    <w:p>
      <w:r>
        <w:rPr>
          <w:b/>
        </w:rPr>
        <w:t xml:space="preserve">Upprättad av: </w:t>
      </w:r>
      <w:r>
        <w:rPr>
          <w:b w:val="0"/>
        </w:rPr>
        <w:t>David Ekström,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DOC-PRJ-002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Skogsbygdens Energi AB (PRJ-001)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GUL – försenad</w:t>
            </w:r>
          </w:p>
        </w:tc>
      </w:tr>
      <w:tr>
        <w:tc>
          <w:tcPr>
            <w:tcW w:type="dxa" w:w="4320"/>
          </w:tcPr>
          <w:p>
            <w:r>
              <w:t>Planerad slutleverans</w:t>
            </w:r>
          </w:p>
        </w:tc>
        <w:tc>
          <w:tcPr>
            <w:tcW w:type="dxa" w:w="4320"/>
          </w:tcPr>
          <w:p>
            <w:r>
              <w:t>2026-07-15 (tilläggsavtal)</w:t>
            </w:r>
          </w:p>
        </w:tc>
      </w:tr>
      <w:tr>
        <w:tc>
          <w:tcPr>
            <w:tcW w:type="dxa" w:w="4320"/>
          </w:tcPr>
          <w:p>
            <w:r>
              <w:t>Prognos slutleverans</w:t>
            </w:r>
          </w:p>
        </w:tc>
        <w:tc>
          <w:tcPr>
            <w:tcW w:type="dxa" w:w="4320"/>
          </w:tcPr>
          <w:p>
            <w:r>
              <w:t>2026-07-15</w:t>
            </w:r>
          </w:p>
        </w:tc>
      </w:tr>
      <w:tr>
        <w:tc>
          <w:tcPr>
            <w:tcW w:type="dxa" w:w="4320"/>
          </w:tcPr>
          <w:p>
            <w:r>
              <w:t>Ackumulerad försening</w:t>
            </w:r>
          </w:p>
        </w:tc>
        <w:tc>
          <w:tcPr>
            <w:tcW w:type="dxa" w:w="4320"/>
          </w:tcPr>
          <w:p>
            <w:r>
              <w:t>cirka 12 veckor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9 400 000 kr + tillägg 800 000 kr (CTR-2026-004)</w:t>
            </w:r>
          </w:p>
        </w:tc>
      </w:tr>
    </w:tbl>
    <w:p>
      <w:r>
        <w:rPr>
          <w:b/>
          <w:i w:val="0"/>
        </w:rPr>
        <w:t>Tilläggsavtal</w:t>
      </w:r>
    </w:p>
    <w:p>
      <w:r>
        <w:rPr>
          <w:b w:val="0"/>
          <w:i w:val="0"/>
        </w:rPr>
        <w:t>Tilläggsavtal signerat 2026-02-06: nytt slutdatum 2026-07-15, +800 000 kr.</w:t>
      </w:r>
    </w:p>
    <w:p>
      <w:r>
        <w:rPr>
          <w:b/>
          <w:i w:val="0"/>
        </w:rPr>
        <w:t>Resurser</w:t>
      </w:r>
    </w:p>
    <w:p>
      <w:r>
        <w:rPr>
          <w:b w:val="0"/>
          <w:i w:val="0"/>
        </w:rPr>
        <w:t>Kraftkod Konsult (2 utvecklare) kvar till slutleverans.</w:t>
      </w:r>
    </w:p>
    <w:p>
      <w:r>
        <w:rPr>
          <w:b/>
          <w:i w:val="0"/>
        </w:rPr>
        <w:t>Risker</w:t>
      </w:r>
    </w:p>
    <w:p>
      <w:r>
        <w:rPr>
          <w:b w:val="0"/>
          <w:i w:val="0"/>
        </w:rPr>
        <w:t>Acceptanstestets omfattning; beroende av SEAB:s testmiljö.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