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Ramavtal konsulttjänster SEAB (förlängning)</w:t>
      </w:r>
    </w:p>
    <w:p>
      <w:r>
        <w:rPr>
          <w:b w:val="0"/>
          <w:i w:val="0"/>
        </w:rPr>
        <w:t>Avtalsnummer: CTR-2026-002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15.01.2026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01.02.2026 – 31.01.2028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1 180,00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Skogsbygdens Energi AB (org.nr 556784-2312), Karlstad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Ramavtal konsulttjänster SEAB (förlängning).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Ramavtalet reglerar de allmänna villkoren för konsulttjänster som leverantören utför åt kunden. Uppdrag avropas skriftligen av kunden och utförs på löpande räkning enligt överenskomna timpriser.</w:t>
      </w:r>
    </w:p>
    <w:p>
      <w:r>
        <w:rPr>
          <w:b w:val="0"/>
          <w:i w:val="0"/>
        </w:rPr>
        <w:t>Inom ramen för detta ramavtal kan kunden avropa konsultinsatser inom systemutveckling, integration och förvaltning. Varje avrop specificerar omfattning, tidplan och bemanning.</w:t>
      </w:r>
    </w:p>
    <w:p>
      <w:pPr>
        <w:pStyle w:val="Heading2"/>
      </w:pPr>
      <w:r>
        <w:t>4. Avtalstid och uppsägning</w:t>
      </w:r>
    </w:p>
    <w:p>
      <w:r>
        <w:rPr>
          <w:b w:val="0"/>
          <w:i w:val="0"/>
        </w:rPr>
        <w:t>Avtalet gäller från och med 01.02.2026 till och med 31.01.2028.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5. Pris och betalning</w:t>
      </w:r>
    </w:p>
    <w:p>
      <w:r>
        <w:rPr>
          <w:b w:val="0"/>
          <w:i w:val="0"/>
        </w:rPr>
        <w:t>Timpris: 1 180,00 kr per timme (exkl. moms).</w:t>
      </w:r>
    </w:p>
    <w:p>
      <w:r>
        <w:rPr>
          <w:b w:val="0"/>
          <w:i w:val="0"/>
        </w:rPr>
        <w:t>Priserna uppräknas årligen per den 1 februari 2026 med KPI, basmånad februari 2026.</w:t>
      </w:r>
    </w:p>
    <w:p>
      <w:r>
        <w:rPr>
          <w:b w:val="0"/>
          <w:i w:val="0"/>
        </w:rPr>
        <w:t>Uppräkning sker med faktorn KPI januari 2026 dividerat med KPI februari 2026.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6. Ansvarsbegränsning</w:t>
      </w:r>
    </w:p>
    <w:p>
      <w:r>
        <w:rPr>
          <w:b w:val="0"/>
          <w:i w:val="0"/>
        </w:rPr>
        <w:t>Vardera partens sammanlagda skadeståndsansvar enligt detta avtal är begränsat till ett belopp motsvarande två (2) gånger årsarvodet.</w:t>
      </w:r>
    </w:p>
    <w:p>
      <w:pPr>
        <w:pStyle w:val="Heading2"/>
      </w:pPr>
      <w:r>
        <w:t>7. Ägarförändring</w:t>
      </w:r>
    </w:p>
    <w:p>
      <w:r>
        <w:rPr>
          <w:b w:val="0"/>
          <w:i w:val="0"/>
        </w:rPr>
        <w:t>Motparten äger rätt att säga upp avtalet med omedelbar verkan vid ägarförändring eller kontrollägarskifte hos leverantören.</w:t>
      </w:r>
    </w:p>
    <w:p>
      <w:pPr>
        <w:pStyle w:val="Heading2"/>
      </w:pPr>
      <w:r>
        <w:t>8.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9.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10.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11.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12.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13. Säkerhet och informationshantering</w:t>
      </w:r>
    </w:p>
    <w:p>
      <w:r>
        <w:rPr>
          <w:b w:val="0"/>
          <w:i w:val="0"/>
        </w:rPr>
        <w:t>Parterna ska tillämpa ändamålsenliga tekniska och organisatoriska åtgärder för att skydda information som hanteras inom ramen för uppdraget.</w:t>
      </w:r>
    </w:p>
    <w:p>
      <w:pPr>
        <w:pStyle w:val="Heading2"/>
      </w:pPr>
      <w:r>
        <w:t>14. Allmänna bestämmelser</w:t>
      </w:r>
    </w:p>
    <w:p>
      <w:pPr>
        <w:pStyle w:val="Heading2"/>
      </w:pPr>
      <w:r>
        <w:t>14.1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14.2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14.3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14.4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14.5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14.6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14.7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14.8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14.9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14.10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14.11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14.12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15.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Skogsbygdens Energi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Björn Sandqvist</w:t>
              <w:br/>
              <w:br/>
              <w:br/>
              <w:br/>
              <w:t>Befattning: CIO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CTR-2026-002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