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Sjukfrånvarorapport FY2026 (2025-10-01 – 2026-09-30)</w:t>
      </w:r>
    </w:p>
    <w:p>
      <w:r>
        <w:rPr>
          <w:b/>
        </w:rPr>
        <w:t xml:space="preserve">Datum: </w:t>
      </w:r>
      <w:r>
        <w:rPr>
          <w:b w:val="0"/>
        </w:rPr>
        <w:t>2026-09-28</w:t>
      </w:r>
    </w:p>
    <w:p>
      <w:r>
        <w:rPr>
          <w:b/>
        </w:rPr>
        <w:t xml:space="preserve">Upprättad av: </w:t>
      </w:r>
      <w:r>
        <w:rPr>
          <w:b w:val="0"/>
        </w:rPr>
        <w:t>P-004</w:t>
      </w:r>
    </w:p>
    <w:p>
      <w:r>
        <w:rPr>
          <w:b/>
        </w:rPr>
        <w:t xml:space="preserve">Version: </w:t>
      </w:r>
      <w:r>
        <w:rPr>
          <w:b w:val="0"/>
        </w:rPr>
        <w:t>1.0</w:t>
      </w:r>
    </w:p>
    <w:p>
      <w:r>
        <w:rPr>
          <w:b/>
        </w:rPr>
        <w:t xml:space="preserve">Dokument-ID: </w:t>
      </w:r>
      <w:r>
        <w:rPr>
          <w:b w:val="0"/>
        </w:rPr>
        <w:t>DOC-EMP-005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Total sjukfrånvaro under FY26 uppgick till 4,4 % av ordinarie arbetstid (föregående år: 4,2 %).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Kvartal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Leverans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Stab/ledning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Totalt</w:t>
            </w:r>
          </w:p>
        </w:tc>
      </w:tr>
      <w:tr>
        <w:tc>
          <w:tcPr>
            <w:tcW w:type="dxa" w:w="2160"/>
          </w:tcPr>
          <w:p>
            <w:r>
              <w:t>Q1 (okt–dec 2025)</w:t>
            </w:r>
          </w:p>
        </w:tc>
        <w:tc>
          <w:tcPr>
            <w:tcW w:type="dxa" w:w="2160"/>
          </w:tcPr>
          <w:p>
            <w:r>
              <w:t>3,8 %</w:t>
            </w:r>
          </w:p>
        </w:tc>
        <w:tc>
          <w:tcPr>
            <w:tcW w:type="dxa" w:w="2160"/>
          </w:tcPr>
          <w:p>
            <w:r>
              <w:t>2,6 %</w:t>
            </w:r>
          </w:p>
        </w:tc>
        <w:tc>
          <w:tcPr>
            <w:tcW w:type="dxa" w:w="2160"/>
          </w:tcPr>
          <w:p>
            <w:r>
              <w:t>3,5 %</w:t>
            </w:r>
          </w:p>
        </w:tc>
      </w:tr>
      <w:tr>
        <w:tc>
          <w:tcPr>
            <w:tcW w:type="dxa" w:w="2160"/>
          </w:tcPr>
          <w:p>
            <w:r>
              <w:t>Q2 (jan–mar)</w:t>
            </w:r>
          </w:p>
        </w:tc>
        <w:tc>
          <w:tcPr>
            <w:tcW w:type="dxa" w:w="2160"/>
          </w:tcPr>
          <w:p>
            <w:r>
              <w:t>4,6 %</w:t>
            </w:r>
          </w:p>
        </w:tc>
        <w:tc>
          <w:tcPr>
            <w:tcW w:type="dxa" w:w="2160"/>
          </w:tcPr>
          <w:p>
            <w:r>
              <w:t>2,9 %</w:t>
            </w:r>
          </w:p>
        </w:tc>
        <w:tc>
          <w:tcPr>
            <w:tcW w:type="dxa" w:w="2160"/>
          </w:tcPr>
          <w:p>
            <w:r>
              <w:t>4,1 %</w:t>
            </w:r>
          </w:p>
        </w:tc>
      </w:tr>
      <w:tr>
        <w:tc>
          <w:tcPr>
            <w:tcW w:type="dxa" w:w="2160"/>
          </w:tcPr>
          <w:p>
            <w:r>
              <w:t>Q3 (apr–jun)</w:t>
            </w:r>
          </w:p>
        </w:tc>
        <w:tc>
          <w:tcPr>
            <w:tcW w:type="dxa" w:w="2160"/>
          </w:tcPr>
          <w:p>
            <w:r>
              <w:t>4,9 %</w:t>
            </w:r>
          </w:p>
        </w:tc>
        <w:tc>
          <w:tcPr>
            <w:tcW w:type="dxa" w:w="2160"/>
          </w:tcPr>
          <w:p>
            <w:r>
              <w:t>3,1 %</w:t>
            </w:r>
          </w:p>
        </w:tc>
        <w:tc>
          <w:tcPr>
            <w:tcW w:type="dxa" w:w="2160"/>
          </w:tcPr>
          <w:p>
            <w:r>
              <w:t>4,5 %</w:t>
            </w:r>
          </w:p>
        </w:tc>
      </w:tr>
      <w:tr>
        <w:tc>
          <w:tcPr>
            <w:tcW w:type="dxa" w:w="2160"/>
          </w:tcPr>
          <w:p>
            <w:r>
              <w:t>Q4 (jul–sep)</w:t>
            </w:r>
          </w:p>
        </w:tc>
        <w:tc>
          <w:tcPr>
            <w:tcW w:type="dxa" w:w="2160"/>
          </w:tcPr>
          <w:p>
            <w:r>
              <w:t>5,2 %</w:t>
            </w:r>
          </w:p>
        </w:tc>
        <w:tc>
          <w:tcPr>
            <w:tcW w:type="dxa" w:w="2160"/>
          </w:tcPr>
          <w:p>
            <w:r>
              <w:t>3,2 %</w:t>
            </w:r>
          </w:p>
        </w:tc>
        <w:tc>
          <w:tcPr>
            <w:tcW w:type="dxa" w:w="2160"/>
          </w:tcPr>
          <w:p>
            <w:r>
              <w:t>4,7 %</w:t>
            </w:r>
          </w:p>
        </w:tc>
      </w:tr>
      <w:tr>
        <w:tc>
          <w:tcPr>
            <w:tcW w:type="dxa" w:w="2160"/>
          </w:tcPr>
          <w:p>
            <w:r>
              <w:t>Helår</w:t>
            </w:r>
          </w:p>
        </w:tc>
        <w:tc>
          <w:tcPr>
            <w:tcW w:type="dxa" w:w="2160"/>
          </w:tcPr>
          <w:p>
            <w:r>
              <w:t>4,6 %</w:t>
            </w:r>
          </w:p>
        </w:tc>
        <w:tc>
          <w:tcPr>
            <w:tcW w:type="dxa" w:w="2160"/>
          </w:tcPr>
          <w:p>
            <w:r>
              <w:t>3,0 %</w:t>
            </w:r>
          </w:p>
        </w:tc>
        <w:tc>
          <w:tcPr>
            <w:tcW w:type="dxa" w:w="2160"/>
          </w:tcPr>
          <w:p>
            <w:r>
              <w:t>4,4 %</w:t>
            </w:r>
          </w:p>
        </w:tc>
      </w:tr>
    </w:tbl>
    <w:p>
      <w:r>
        <w:rPr>
          <w:b w:val="0"/>
          <w:i w:val="0"/>
        </w:rPr>
        <w:t>Leveransteamets frånvaro ökar under andra halvåret; mönster kopplas till arbetsbelastning (se medarbetarundersökningarna).</w:t>
      </w:r>
    </w:p>
    <w:p>
      <w:r>
        <w:rPr>
          <w:b w:val="0"/>
          <w:i w:val="0"/>
        </w:rPr>
        <w:t>Källa: HR-systemets frånvarorapportering, manuell sammanställning av Petra Wahlgren.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