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Sjukfrånvarosammanställning Q1 FY26 – export från lönesystemet</w:t>
      </w:r>
    </w:p>
    <w:p>
      <w:r>
        <w:rPr>
          <w:b/>
        </w:rPr>
        <w:t xml:space="preserve">Datum: </w:t>
      </w:r>
      <w:r>
        <w:rPr>
          <w:b w:val="0"/>
        </w:rPr>
        <w:t>2026-02-10</w:t>
      </w:r>
    </w:p>
    <w:p>
      <w:r>
        <w:rPr>
          <w:b/>
        </w:rPr>
        <w:t xml:space="preserve">Upprättad av: </w:t>
      </w:r>
      <w:r>
        <w:rPr>
          <w:b w:val="0"/>
        </w:rPr>
        <w:t>P-003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Sammanställning av sjukfrånvaro för första kvartalet FY26 (oktober–december 2025), exporterad ur lönesystemet (Löneportalen).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Sjukfrånvaro Q1</w:t>
            </w:r>
          </w:p>
        </w:tc>
      </w:tr>
      <w:tr>
        <w:tc>
          <w:tcPr>
            <w:tcW w:type="dxa" w:w="4320"/>
          </w:tcPr>
          <w:p>
            <w:r>
              <w:t>Leveransteamet</w:t>
            </w:r>
          </w:p>
        </w:tc>
        <w:tc>
          <w:tcPr>
            <w:tcW w:type="dxa" w:w="4320"/>
          </w:tcPr>
          <w:p>
            <w:r>
              <w:t>5,1 %</w:t>
            </w:r>
          </w:p>
        </w:tc>
      </w:tr>
      <w:tr>
        <w:tc>
          <w:tcPr>
            <w:tcW w:type="dxa" w:w="4320"/>
          </w:tcPr>
          <w:p>
            <w:r>
              <w:t>Stab/ledning</w:t>
            </w:r>
          </w:p>
        </w:tc>
        <w:tc>
          <w:tcPr>
            <w:tcW w:type="dxa" w:w="4320"/>
          </w:tcPr>
          <w:p>
            <w:r>
              <w:t>2,6 %</w:t>
            </w:r>
          </w:p>
        </w:tc>
      </w:tr>
      <w:tr>
        <w:tc>
          <w:tcPr>
            <w:tcW w:type="dxa" w:w="4320"/>
          </w:tcPr>
          <w:p>
            <w:r>
              <w:t>Totalt</w:t>
            </w:r>
          </w:p>
        </w:tc>
        <w:tc>
          <w:tcPr>
            <w:tcW w:type="dxa" w:w="4320"/>
          </w:tcPr>
          <w:p>
            <w:r>
              <w:t>4,5 %</w:t>
            </w:r>
          </w:p>
        </w:tc>
      </w:tr>
    </w:tbl>
    <w:p>
      <w:r>
        <w:rPr>
          <w:b w:val="0"/>
          <w:i w:val="0"/>
        </w:rPr>
        <w:t>Notering: exporten bygger på frånvarokoder registrerade i lönesystemet, inklusive sjukfrånvaro utbetald som sjuklön. Dagar med sjukavdrag men utan sjuklön ingår inte.</w:t>
      </w:r>
    </w:p>
    <w:p>
      <w:r>
        <w:rPr>
          <w:b w:val="0"/>
          <w:i w:val="0"/>
        </w:rPr>
        <w:t>Källa: Löneportalen, export 2026-02-10 (Anders Bergström).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