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Kapellbacken Fastigheter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SIN-2026-0293</w:t>
      </w:r>
    </w:p>
    <w:p>
      <w:r>
        <w:rPr>
          <w:b/>
        </w:rPr>
        <w:t xml:space="preserve">Fakturadatum: </w:t>
      </w:r>
      <w:r>
        <w:rPr>
          <w:b w:val="0"/>
        </w:rPr>
        <w:t>2026-09-17</w:t>
      </w:r>
    </w:p>
    <w:p>
      <w:r>
        <w:rPr>
          <w:b/>
        </w:rPr>
        <w:t xml:space="preserve">Förfallodatum: </w:t>
      </w:r>
      <w:r>
        <w:rPr>
          <w:b w:val="0"/>
        </w:rPr>
        <w:t>2026-10-17</w:t>
      </w:r>
    </w:p>
    <w:p>
      <w:r>
        <w:rPr>
          <w:b/>
        </w:rPr>
        <w:t xml:space="preserve">Avser: </w:t>
      </w:r>
      <w:r>
        <w:rPr>
          <w:b w:val="0"/>
        </w:rPr>
        <w:t>Lokalhyra</w:t>
      </w:r>
    </w:p>
    <w:p>
      <w:r>
        <w:rPr>
          <w:b/>
        </w:rPr>
        <w:t xml:space="preserve">Konto: </w:t>
      </w:r>
      <w:r>
        <w:rPr>
          <w:b w:val="0"/>
        </w:rPr>
        <w:t>5010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Lokalhyra</w:t>
            </w:r>
          </w:p>
        </w:tc>
        <w:tc>
          <w:tcPr>
            <w:tcW w:type="dxa" w:w="2160"/>
          </w:tcPr>
          <w:p>
            <w:r>
              <w:t>165 000,00</w:t>
            </w:r>
          </w:p>
        </w:tc>
        <w:tc>
          <w:tcPr>
            <w:tcW w:type="dxa" w:w="2160"/>
          </w:tcPr>
          <w:p>
            <w:r>
              <w:t>41 250,00</w:t>
            </w:r>
          </w:p>
        </w:tc>
        <w:tc>
          <w:tcPr>
            <w:tcW w:type="dxa" w:w="2160"/>
          </w:tcPr>
          <w:p>
            <w:r>
              <w:t>206 250,00</w:t>
            </w:r>
          </w:p>
        </w:tc>
      </w:tr>
    </w:tbl>
    <w:p>
      <w:pPr>
        <w:jc w:val="right"/>
      </w:pPr>
      <w:r>
        <w:rPr>
          <w:b/>
        </w:rPr>
        <w:t>ATT BETALA: 206 250,00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