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Blixt &amp; Båge Byrå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SIN-2026-0327</w:t>
      </w:r>
    </w:p>
    <w:p>
      <w:r>
        <w:rPr>
          <w:b/>
        </w:rPr>
        <w:t xml:space="preserve">Fakturadatum: </w:t>
      </w:r>
      <w:r>
        <w:rPr>
          <w:b w:val="0"/>
        </w:rPr>
        <w:t>2026-09-15</w:t>
      </w:r>
    </w:p>
    <w:p>
      <w:r>
        <w:rPr>
          <w:b/>
        </w:rPr>
        <w:t xml:space="preserve">Förfallodatum: </w:t>
      </w:r>
      <w:r>
        <w:rPr>
          <w:b w:val="0"/>
        </w:rPr>
        <w:t>2026-10-15</w:t>
      </w:r>
    </w:p>
    <w:p>
      <w:r>
        <w:rPr>
          <w:b/>
        </w:rPr>
        <w:t xml:space="preserve">Avser: </w:t>
      </w:r>
      <w:r>
        <w:rPr>
          <w:b w:val="0"/>
        </w:rPr>
        <w:t>Kundevent/kickoff</w:t>
      </w:r>
    </w:p>
    <w:p>
      <w:r>
        <w:rPr>
          <w:b/>
        </w:rPr>
        <w:t xml:space="preserve">Konto: </w:t>
      </w:r>
      <w:r>
        <w:rPr>
          <w:b w:val="0"/>
        </w:rPr>
        <w:t>5910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Kundevent/kickoff</w:t>
            </w:r>
          </w:p>
        </w:tc>
        <w:tc>
          <w:tcPr>
            <w:tcW w:type="dxa" w:w="2160"/>
          </w:tcPr>
          <w:p>
            <w:r>
              <w:t>85 000,00</w:t>
            </w:r>
          </w:p>
        </w:tc>
        <w:tc>
          <w:tcPr>
            <w:tcW w:type="dxa" w:w="2160"/>
          </w:tcPr>
          <w:p>
            <w:r>
              <w:t>21 250,00</w:t>
            </w:r>
          </w:p>
        </w:tc>
        <w:tc>
          <w:tcPr>
            <w:tcW w:type="dxa" w:w="2160"/>
          </w:tcPr>
          <w:p>
            <w:r>
              <w:t>106 250,00</w:t>
            </w:r>
          </w:p>
        </w:tc>
      </w:tr>
    </w:tbl>
    <w:p>
      <w:pPr>
        <w:jc w:val="right"/>
      </w:pPr>
      <w:r>
        <w:rPr>
          <w:b/>
        </w:rPr>
        <w:t>ATT BETALA: 106 250,00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