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INV-2026-0233</w:t>
      </w:r>
    </w:p>
    <w:p>
      <w:r>
        <w:rPr>
          <w:b/>
        </w:rPr>
        <w:t xml:space="preserve">Fakturadatum: </w:t>
      </w:r>
      <w:r>
        <w:rPr>
          <w:b w:val="0"/>
        </w:rPr>
        <w:t>2026-06-28</w:t>
      </w:r>
    </w:p>
    <w:p>
      <w:r>
        <w:rPr>
          <w:b/>
        </w:rPr>
        <w:t xml:space="preserve">Förfallodatum: </w:t>
      </w:r>
      <w:r>
        <w:rPr>
          <w:b w:val="0"/>
        </w:rPr>
        <w:t>2026-07-28</w:t>
      </w:r>
    </w:p>
    <w:p>
      <w:r>
        <w:rPr>
          <w:b/>
        </w:rPr>
        <w:t xml:space="preserve">Er referens: </w:t>
      </w:r>
      <w:r>
        <w:rPr>
          <w:b w:val="0"/>
        </w:rPr>
        <w:t>2026-06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Sommarängens Trädgård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2026-06 (14.7 timmar à 940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13 818,00</w:t>
            </w:r>
          </w:p>
        </w:tc>
        <w:tc>
          <w:tcPr>
            <w:tcW w:type="dxa" w:w="1728"/>
          </w:tcPr>
          <w:p>
            <w:r>
              <w:t>3 454,50</w:t>
            </w:r>
          </w:p>
        </w:tc>
        <w:tc>
          <w:tcPr>
            <w:tcW w:type="dxa" w:w="1728"/>
          </w:tcPr>
          <w:p>
            <w:r>
              <w:t>17 272,50</w:t>
            </w:r>
          </w:p>
        </w:tc>
      </w:tr>
    </w:tbl>
    <w:p>
      <w:pPr>
        <w:jc w:val="right"/>
      </w:pPr>
      <w:r>
        <w:rPr>
          <w:b/>
        </w:rPr>
        <w:t>ATT BETALA: 17 272,50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