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Org.nr 559245-1673</w:t>
      </w:r>
    </w:p>
    <w:p>
      <w:pPr>
        <w:pStyle w:val="Title"/>
      </w:pPr>
      <w:r>
        <w:t>Styrelseprotokoll nr 7/2026</w:t>
      </w:r>
    </w:p>
    <w:p>
      <w:r>
        <w:rPr>
          <w:b/>
        </w:rPr>
        <w:t xml:space="preserve">Sammanträdesdatum: </w:t>
      </w:r>
      <w:r>
        <w:rPr>
          <w:b w:val="0"/>
        </w:rPr>
        <w:t>25 maj 2026</w:t>
      </w:r>
    </w:p>
    <w:p>
      <w:r>
        <w:rPr>
          <w:b/>
        </w:rPr>
        <w:t xml:space="preserve">Plats: </w:t>
      </w:r>
      <w:r>
        <w:rPr>
          <w:b w:val="0"/>
        </w:rPr>
        <w:t>Bolagets kontor, Kajplatsen 4, Stockholm</w:t>
      </w:r>
    </w:p>
    <w:p>
      <w:r>
        <w:rPr>
          <w:b w:val="0"/>
          <w:i w:val="0"/>
        </w:rPr>
      </w:r>
    </w:p>
    <w:p>
      <w:r>
        <w:rPr>
          <w:b/>
        </w:rPr>
        <w:t xml:space="preserve">Version: </w:t>
      </w:r>
      <w:r>
        <w:rPr>
          <w:b w:val="0"/>
        </w:rPr>
        <w:t>Utkast v0.9 – ej undertecknat</w:t>
      </w:r>
    </w:p>
    <w:p>
      <w:r>
        <w:rPr>
          <w:b/>
        </w:rPr>
        <w:t xml:space="preserve">Närvarande: </w:t>
      </w:r>
      <w:r>
        <w:rPr>
          <w:b w:val="0"/>
        </w:rPr>
        <w:t>Eva Granlund (ordförande), Per Lindström, Maja Lindqvist, Anders Bergström (protokollförare)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§ 1 Mötets öppnande</w:t>
      </w:r>
    </w:p>
    <w:p>
      <w:r>
        <w:rPr>
          <w:b w:val="0"/>
          <w:i w:val="0"/>
        </w:rPr>
        <w:t>Ordföranden förklarade mötet öppnat.</w:t>
      </w:r>
    </w:p>
    <w:p>
      <w:r>
        <w:rPr>
          <w:b w:val="0"/>
          <w:i w:val="0"/>
        </w:rPr>
        <w:t>§ 2 Kvartalsrapport Q3 (januari–mars 2026)</w:t>
      </w:r>
    </w:p>
    <w:p>
      <w:r>
        <w:rPr>
          <w:b w:val="0"/>
          <w:i w:val="0"/>
        </w:rPr>
        <w:t>CFO presenterade kvartalsrapporten: nettoomsättning 15,8 MSEK. Resultatet förbättrades jämfört med föregående kvartal.</w:t>
      </w:r>
    </w:p>
    <w:p>
      <w:r>
        <w:rPr>
          <w:b w:val="0"/>
          <w:i w:val="0"/>
        </w:rPr>
        <w:t>§ 3 Projektstatus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Projekt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SE-Billing</w:t>
            </w:r>
          </w:p>
        </w:tc>
        <w:tc>
          <w:tcPr>
            <w:tcW w:type="dxa" w:w="4320"/>
          </w:tcPr>
          <w:p>
            <w:r>
              <w:t>Slutlevererad</w:t>
            </w:r>
          </w:p>
        </w:tc>
      </w:tr>
      <w:tr>
        <w:tc>
          <w:tcPr>
            <w:tcW w:type="dxa" w:w="4320"/>
          </w:tcPr>
          <w:p>
            <w:r>
              <w:t>TS-Produktionsportal</w:t>
            </w:r>
          </w:p>
        </w:tc>
        <w:tc>
          <w:tcPr>
            <w:tcW w:type="dxa" w:w="4320"/>
          </w:tcPr>
          <w:p>
            <w:r>
              <w:t>Försenad – viteförhandling pågår</w:t>
            </w:r>
          </w:p>
        </w:tc>
      </w:tr>
      <w:tr>
        <w:tc>
          <w:tcPr>
            <w:tcW w:type="dxa" w:w="4320"/>
          </w:tcPr>
          <w:p>
            <w:r>
              <w:t>SU-Produktionssystem</w:t>
            </w:r>
          </w:p>
        </w:tc>
        <w:tc>
          <w:tcPr>
            <w:tcW w:type="dxa" w:w="4320"/>
          </w:tcPr>
          <w:p>
            <w:r>
              <w:t>Pågående enligt plan</w:t>
            </w:r>
          </w:p>
        </w:tc>
      </w:tr>
      <w:tr>
        <w:tc>
          <w:tcPr>
            <w:tcW w:type="dxa" w:w="4320"/>
          </w:tcPr>
          <w:p>
            <w:r>
              <w:t>GV-Digitalisering</w:t>
            </w:r>
          </w:p>
        </w:tc>
        <w:tc>
          <w:tcPr>
            <w:tcW w:type="dxa" w:w="4320"/>
          </w:tcPr>
          <w:p>
            <w:r>
              <w:t>Pågående</w:t>
            </w:r>
          </w:p>
        </w:tc>
      </w:tr>
      <w:tr>
        <w:tc>
          <w:tcPr>
            <w:tcW w:type="dxa" w:w="4320"/>
          </w:tcPr>
          <w:p>
            <w:r>
              <w:t>LM-Lärplattform</w:t>
            </w:r>
          </w:p>
        </w:tc>
        <w:tc>
          <w:tcPr>
            <w:tcW w:type="dxa" w:w="4320"/>
          </w:tcPr>
          <w:p>
            <w:r>
              <w:t>Pågående, slutleverans planerad 2026-08</w:t>
            </w:r>
          </w:p>
        </w:tc>
      </w:tr>
    </w:tbl>
    <w:p>
      <w:r>
        <w:rPr>
          <w:b w:val="0"/>
          <w:i w:val="0"/>
        </w:rPr>
        <w:t>§ 4 Åtgärder mot förseningar och underfakturering</w:t>
      </w:r>
    </w:p>
    <w:p>
      <w:r>
        <w:rPr>
          <w:b w:val="0"/>
          <w:i w:val="0"/>
        </w:rPr>
        <w:t>Styrelsen efterfrågade åtgärder mot försenade projekt och den upptäckta underfaktureringen (KF-Biljettsystem). Leveranschefen ska presentera en åtgärdsplan inom tre veckor.</w:t>
      </w:r>
    </w:p>
    <w:p>
      <w:r>
        <w:rPr>
          <w:b w:val="0"/>
          <w:i w:val="0"/>
        </w:rPr>
        <w:t>§ 5 Prognos</w:t>
      </w:r>
    </w:p>
    <w:p>
      <w:r>
        <w:rPr>
          <w:b w:val="0"/>
          <w:i w:val="0"/>
        </w:rPr>
        <w:t>Styrelsen beslutade att CFO reviderar helårsprognosen och presenterar bas-, worst- och best-scenarier senast 2026-06-01.</w:t>
      </w:r>
    </w:p>
    <w:p>
      <w:r>
        <w:rPr>
          <w:b w:val="0"/>
          <w:i w:val="0"/>
        </w:rPr>
        <w:t>§ 6 Mötets avslutande</w:t>
      </w:r>
    </w:p>
    <w:p>
      <w:r>
        <w:rPr>
          <w:b w:val="0"/>
          <w:i w:val="0"/>
        </w:rPr>
        <w:t>Mötet avslutades kl. 15.10.</w:t>
      </w:r>
    </w:p>
    <w:p>
      <w:pPr>
        <w:jc w:val="right"/>
      </w:pPr>
      <w:r>
        <w:rPr>
          <w:b w:val="0"/>
        </w:rPr>
        <w:t>Utkast – väntar på justeringar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