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Sekretesspolicy</w:t>
      </w:r>
    </w:p>
    <w:p>
      <w:r>
        <w:rPr>
          <w:b/>
        </w:rPr>
        <w:t xml:space="preserve">Datum: </w:t>
      </w:r>
      <w:r>
        <w:rPr>
          <w:b w:val="0"/>
        </w:rPr>
        <w:t>Fastställd 2024-06-01 (mall från 2023-02-15)</w:t>
      </w:r>
    </w:p>
    <w:p>
      <w:r>
        <w:rPr>
          <w:b/>
        </w:rPr>
        <w:t xml:space="preserve">Upprättad av: </w:t>
      </w:r>
      <w:r>
        <w:rPr>
          <w:b w:val="0"/>
        </w:rPr>
        <w:t>Petra Wahlgren, HR- och kontorschef</w:t>
      </w:r>
    </w:p>
    <w:p>
      <w:r>
        <w:rPr>
          <w:b/>
        </w:rPr>
        <w:t xml:space="preserve">Version: </w:t>
      </w:r>
      <w:r>
        <w:rPr>
          <w:b w:val="0"/>
        </w:rPr>
        <w:t>v2.0</w:t>
      </w:r>
    </w:p>
    <w:p>
      <w:r>
        <w:rPr>
          <w:b/>
        </w:rPr>
        <w:t xml:space="preserve">Dokument-ID: </w:t>
      </w:r>
      <w:r>
        <w:rPr>
          <w:b w:val="0"/>
        </w:rPr>
        <w:t>DOC-POL-003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1. Omfattning: Policyn gäller alla medarbetare, inhyrd personal och styrelseledamöter och omfattar all information om kunder, leverantörer, priser, kalkyler, affärsstrategier och interna system.</w:t>
      </w:r>
    </w:p>
    <w:p>
      <w:r>
        <w:rPr>
          <w:b w:val="0"/>
          <w:i w:val="0"/>
        </w:rPr>
        <w:t>2. Sekretess: Uppgifter som rör kunders verksamhet får inte röjas för obehöriga. Särskilda sekretessåtaganden i kundavtal (NDA) har företräde framför denna policy.</w:t>
      </w:r>
    </w:p>
    <w:p>
      <w:r>
        <w:rPr>
          <w:b w:val="0"/>
          <w:i w:val="0"/>
        </w:rPr>
        <w:t>3. Tystnadsplikt efter anställningens slut: Sekretessen gäller även efter att anställningen upphört.</w:t>
      </w:r>
    </w:p>
    <w:p>
      <w:r>
        <w:rPr>
          <w:b w:val="0"/>
          <w:i w:val="0"/>
        </w:rPr>
        <w:t>4. Sociala medier: Bolagsinformation får inte diskuteras i sociala medier utan VD:s godkännande.</w:t>
      </w:r>
    </w:p>
    <w:p>
      <w:r>
        <w:rPr>
          <w:b w:val="0"/>
          <w:i w:val="0"/>
        </w:rPr>
        <w:t>5. Konkurrensklausuler: Eventuella konkurrensklausuler i anställningsavtal hanteras enligt kollektivavtal och tillämplig praxis. Se särskilda rutiner för nyckelpersoner.</w:t>
      </w:r>
    </w:p>
    <w:p>
      <w:r>
        <w:rPr>
          <w:b w:val="0"/>
          <w:i w:val="0"/>
        </w:rPr>
        <w:t>6. Rapportering: Misstankar om brott mot sekretessen rapporteras till närmaste chef eller VD.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