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Projektstatusrapport – SE-Billing</w:t>
      </w:r>
    </w:p>
    <w:p>
      <w:r>
        <w:rPr>
          <w:b/>
        </w:rPr>
        <w:t xml:space="preserve">Datum: </w:t>
      </w:r>
      <w:r>
        <w:rPr>
          <w:b w:val="0"/>
        </w:rPr>
        <w:t>2026-05-15</w:t>
      </w:r>
    </w:p>
    <w:p>
      <w:r>
        <w:rPr>
          <w:b/>
        </w:rPr>
        <w:t xml:space="preserve">Upprättad av: </w:t>
      </w:r>
      <w:r>
        <w:rPr>
          <w:b w:val="0"/>
        </w:rPr>
        <w:t>David Ekström, projektledare</w:t>
      </w:r>
    </w:p>
    <w:p>
      <w:r>
        <w:rPr>
          <w:b/>
        </w:rPr>
        <w:t xml:space="preserve">Dokument-ID: </w:t>
      </w:r>
      <w:r>
        <w:rPr>
          <w:b w:val="0"/>
        </w:rPr>
        <w:t>DOC-PRJ-003</w:t>
      </w:r>
    </w:p>
    <w:p>
      <w:r>
        <w:rPr>
          <w:b w:val="0"/>
          <w:i w:val="0"/>
        </w:rPr>
      </w:r>
    </w:p>
    <w:p>
      <w:r>
        <w:rPr>
          <w:b/>
        </w:rPr>
        <w:t xml:space="preserve">Kund: </w:t>
      </w:r>
      <w:r>
        <w:rPr>
          <w:b w:val="0"/>
        </w:rPr>
        <w:t>Skogsbygdens Energi AB (PRJ-001)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Fält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Värde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GUL – försenad</w:t>
            </w:r>
          </w:p>
        </w:tc>
      </w:tr>
      <w:tr>
        <w:tc>
          <w:tcPr>
            <w:tcW w:type="dxa" w:w="4320"/>
          </w:tcPr>
          <w:p>
            <w:r>
              <w:t>Planerad slutleverans</w:t>
            </w:r>
          </w:p>
        </w:tc>
        <w:tc>
          <w:tcPr>
            <w:tcW w:type="dxa" w:w="4320"/>
          </w:tcPr>
          <w:p>
            <w:r>
              <w:t>2026-07-15</w:t>
            </w:r>
          </w:p>
        </w:tc>
      </w:tr>
      <w:tr>
        <w:tc>
          <w:tcPr>
            <w:tcW w:type="dxa" w:w="4320"/>
          </w:tcPr>
          <w:p>
            <w:r>
              <w:t>Ackumulerad försening</w:t>
            </w:r>
          </w:p>
        </w:tc>
        <w:tc>
          <w:tcPr>
            <w:tcW w:type="dxa" w:w="4320"/>
          </w:tcPr>
          <w:p>
            <w:r>
              <w:t>cirka 14 veckor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10 200 000 kr inkl. tillägg</w:t>
            </w:r>
          </w:p>
        </w:tc>
      </w:tr>
    </w:tbl>
    <w:p>
      <w:r>
        <w:rPr>
          <w:b/>
          <w:i w:val="0"/>
        </w:rPr>
        <w:t>Lägesbild</w:t>
      </w:r>
    </w:p>
    <w:p>
      <w:r>
        <w:rPr>
          <w:b w:val="0"/>
          <w:i w:val="0"/>
        </w:rPr>
        <w:t>All utveckling klar; acceptanstest pågår. Två kritiska fel återstår.</w:t>
      </w:r>
    </w:p>
    <w:p>
      <w:r>
        <w:rPr>
          <w:b/>
          <w:i w:val="0"/>
        </w:rPr>
        <w:t>Risker</w:t>
      </w:r>
    </w:p>
    <w:p>
      <w:r>
        <w:rPr>
          <w:b w:val="0"/>
          <w:i w:val="0"/>
        </w:rPr>
        <w:t>Kundens testresurser är begränsade i juni; risk att slutleveransen glider till augusti.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