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Säkerhetsbedömning av leverantör – Kraftkod Konsult AB</w:t>
      </w:r>
    </w:p>
    <w:p>
      <w:r>
        <w:rPr>
          <w:b/>
        </w:rPr>
        <w:t xml:space="preserve">Datum: </w:t>
      </w:r>
      <w:r>
        <w:rPr>
          <w:b w:val="0"/>
        </w:rPr>
        <w:t>2025-01-20</w:t>
      </w:r>
    </w:p>
    <w:p>
      <w:r>
        <w:rPr>
          <w:b/>
        </w:rPr>
        <w:t xml:space="preserve">Upprättad av: </w:t>
      </w:r>
      <w:r>
        <w:rPr>
          <w:b w:val="0"/>
        </w:rPr>
        <w:t>Jonas Sandberg, CTO</w:t>
      </w:r>
    </w:p>
    <w:p>
      <w:r>
        <w:rPr>
          <w:b/>
        </w:rPr>
        <w:t xml:space="preserve">Dokument-ID: </w:t>
      </w:r>
      <w:r>
        <w:rPr>
          <w:b w:val="0"/>
        </w:rPr>
        <w:t>DOC-SUP-008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Område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Bedömning</w:t>
            </w:r>
          </w:p>
        </w:tc>
      </w:tr>
      <w:tr>
        <w:tc>
          <w:tcPr>
            <w:tcW w:type="dxa" w:w="4320"/>
          </w:tcPr>
          <w:p>
            <w:r>
              <w:t>Underkonsult – 2 utvecklare på SE-Billing</w:t>
            </w:r>
          </w:p>
        </w:tc>
        <w:tc>
          <w:tcPr>
            <w:tcW w:type="dxa" w:w="4320"/>
          </w:tcPr>
          <w:p>
            <w:r>
              <w:t>Konsulttjänster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Fynd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Kommentar</w:t>
            </w:r>
          </w:p>
        </w:tc>
      </w:tr>
      <w:tr>
        <w:tc>
          <w:tcPr>
            <w:tcW w:type="dxa" w:w="4320"/>
          </w:tcPr>
          <w:p>
            <w:r>
              <w:t>Säkerhet</w:t>
            </w:r>
          </w:p>
        </w:tc>
        <w:tc>
          <w:tcPr>
            <w:tcW w:type="dxa" w:w="4320"/>
          </w:tcPr>
          <w:p>
            <w:r>
              <w:t>Bakgrundskontroller utförda; NDA tecknat</w:t>
            </w:r>
          </w:p>
        </w:tc>
      </w:tr>
      <w:tr>
        <w:tc>
          <w:tcPr>
            <w:tcW w:type="dxa" w:w="4320"/>
          </w:tcPr>
          <w:p>
            <w:r>
              <w:t>Kvalitet</w:t>
            </w:r>
          </w:p>
        </w:tc>
        <w:tc>
          <w:tcPr>
            <w:tcW w:type="dxa" w:w="4320"/>
          </w:tcPr>
          <w:p>
            <w:r>
              <w:t>God leverans; kostnad 136 000 kr/mån under SE-Billing</w:t>
            </w:r>
          </w:p>
        </w:tc>
      </w:tr>
      <w:tr>
        <w:tc>
          <w:tcPr>
            <w:tcW w:type="dxa" w:w="4320"/>
          </w:tcPr>
          <w:p>
            <w:r>
              <w:t>Risknivå</w:t>
            </w:r>
          </w:p>
        </w:tc>
        <w:tc>
          <w:tcPr>
            <w:tcW w:type="dxa" w:w="4320"/>
          </w:tcPr>
          <w:p>
            <w:r>
              <w:t>Låg – godkänd</w:t>
            </w:r>
          </w:p>
        </w:tc>
      </w:tr>
    </w:tbl>
    <w:p>
      <w:r>
        <w:rPr>
          <w:b/>
        </w:rPr>
        <w:t xml:space="preserve">Beslut: </w:t>
      </w:r>
      <w:r>
        <w:rPr>
          <w:b w:val="0"/>
        </w:rPr>
        <w:t>Godkänd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