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Talangjakten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SIN-2026-0073</w:t>
      </w:r>
    </w:p>
    <w:p>
      <w:r>
        <w:rPr>
          <w:b/>
        </w:rPr>
        <w:t xml:space="preserve">Fakturadatum: </w:t>
      </w:r>
      <w:r>
        <w:rPr>
          <w:b w:val="0"/>
        </w:rPr>
        <w:t>2026-02-15</w:t>
      </w:r>
    </w:p>
    <w:p>
      <w:r>
        <w:rPr>
          <w:b/>
        </w:rPr>
        <w:t xml:space="preserve">Förfallodatum: </w:t>
      </w:r>
      <w:r>
        <w:rPr>
          <w:b w:val="0"/>
        </w:rPr>
        <w:t>2026-03-17</w:t>
      </w:r>
    </w:p>
    <w:p>
      <w:r>
        <w:rPr>
          <w:b/>
        </w:rPr>
        <w:t xml:space="preserve">Avser: </w:t>
      </w:r>
      <w:r>
        <w:rPr>
          <w:b w:val="0"/>
        </w:rPr>
        <w:t>Rekrytering arkitekt (Nadia Haddad)</w:t>
      </w:r>
    </w:p>
    <w:p>
      <w:r>
        <w:rPr>
          <w:b/>
        </w:rPr>
        <w:t xml:space="preserve">Konto: </w:t>
      </w:r>
      <w:r>
        <w:rPr>
          <w:b w:val="0"/>
        </w:rPr>
        <w:t>7699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Rekrytering arkitekt (Nadia Haddad)</w:t>
            </w:r>
          </w:p>
        </w:tc>
        <w:tc>
          <w:tcPr>
            <w:tcW w:type="dxa" w:w="2160"/>
          </w:tcPr>
          <w:p>
            <w:r>
              <w:t>90 000,00</w:t>
            </w:r>
          </w:p>
        </w:tc>
        <w:tc>
          <w:tcPr>
            <w:tcW w:type="dxa" w:w="2160"/>
          </w:tcPr>
          <w:p>
            <w:r>
              <w:t>22 500,00</w:t>
            </w:r>
          </w:p>
        </w:tc>
        <w:tc>
          <w:tcPr>
            <w:tcW w:type="dxa" w:w="2160"/>
          </w:tcPr>
          <w:p>
            <w:r>
              <w:t>112 500,00</w:t>
            </w:r>
          </w:p>
        </w:tc>
      </w:tr>
    </w:tbl>
    <w:p>
      <w:pPr>
        <w:jc w:val="right"/>
      </w:pPr>
      <w:r>
        <w:rPr>
          <w:b/>
        </w:rPr>
        <w:t>ATT BETALA: 112 500,00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