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INV-2026-0219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Läromedelshuset AB</w:t>
      </w:r>
    </w:p>
    <w:p>
      <w:r>
        <w:rPr>
          <w:b w:val="0"/>
          <w:i w:val="0"/>
        </w:rPr>
        <w:t xml:space="preserve">Projekt: P-2426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  <w:tc>
          <w:tcPr>
            <w:tcW w:type="dxa" w:w="1728"/>
          </w:tcPr>
          <w:p>
            <w:r>
              <w:t>100 000,00</w:t>
            </w:r>
          </w:p>
        </w:tc>
        <w:tc>
          <w:tcPr>
            <w:tcW w:type="dxa" w:w="1728"/>
          </w:tcPr>
          <w:p>
            <w:r>
              <w:t>500 000,00</w:t>
            </w:r>
          </w:p>
        </w:tc>
      </w:tr>
    </w:tbl>
    <w:p>
      <w:pPr>
        <w:jc w:val="right"/>
      </w:pPr>
      <w:r>
        <w:rPr>
          <w:b/>
        </w:rPr>
        <w:t>ATT BETALA: 500 000,00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