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INV-2026-0252</w:t>
      </w:r>
    </w:p>
    <w:p>
      <w:r>
        <w:rPr>
          <w:b/>
        </w:rPr>
        <w:t xml:space="preserve">Fakturadatum: </w:t>
      </w:r>
      <w:r>
        <w:rPr>
          <w:b w:val="0"/>
        </w:rPr>
        <w:t>2026-07-28</w:t>
      </w:r>
    </w:p>
    <w:p>
      <w:r>
        <w:rPr>
          <w:b/>
        </w:rPr>
        <w:t xml:space="preserve">Förfallodatum: </w:t>
      </w:r>
      <w:r>
        <w:rPr>
          <w:b w:val="0"/>
        </w:rPr>
        <w:t>2026-08-27</w:t>
      </w:r>
    </w:p>
    <w:p>
      <w:r>
        <w:rPr>
          <w:b/>
        </w:rPr>
        <w:t xml:space="preserve">Er referens: </w:t>
      </w:r>
      <w:r>
        <w:rPr>
          <w:b w:val="0"/>
        </w:rPr>
        <w:t>2026-07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2026-07 (77.4 timmar à 1150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89 010,00</w:t>
            </w:r>
          </w:p>
        </w:tc>
        <w:tc>
          <w:tcPr>
            <w:tcW w:type="dxa" w:w="1728"/>
          </w:tcPr>
          <w:p>
            <w:r>
              <w:t>22 252,50</w:t>
            </w:r>
          </w:p>
        </w:tc>
        <w:tc>
          <w:tcPr>
            <w:tcW w:type="dxa" w:w="1728"/>
          </w:tcPr>
          <w:p>
            <w:r>
              <w:t>111 262,50</w:t>
            </w:r>
          </w:p>
        </w:tc>
      </w:tr>
    </w:tbl>
    <w:p>
      <w:pPr>
        <w:jc w:val="right"/>
      </w:pPr>
      <w:r>
        <w:rPr>
          <w:b/>
        </w:rPr>
        <w:t>ATT BETALA: 111 262,50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