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INV-2026-0318</w:t>
      </w:r>
    </w:p>
    <w:p>
      <w:r>
        <w:rPr>
          <w:b/>
        </w:rPr>
        <w:t xml:space="preserve">Fakturadatum: </w:t>
      </w:r>
      <w:r>
        <w:rPr>
          <w:b w:val="0"/>
        </w:rPr>
        <w:t>2026-08-28</w:t>
      </w:r>
    </w:p>
    <w:p>
      <w:r>
        <w:rPr>
          <w:b/>
        </w:rPr>
        <w:t xml:space="preserve">Förfallodatum: </w:t>
      </w:r>
      <w:r>
        <w:rPr>
          <w:b w:val="0"/>
        </w:rPr>
        <w:t>2026-09-27</w:t>
      </w:r>
    </w:p>
    <w:p>
      <w:r>
        <w:rPr>
          <w:b/>
        </w:rPr>
        <w:t xml:space="preserve">Er referens: </w:t>
      </w:r>
      <w:r>
        <w:rPr>
          <w:b w:val="0"/>
        </w:rPr>
        <w:t>2026-08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Gryningsljusets Reklam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2026-08 (15.6 timmar à 1020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15 912,00</w:t>
            </w:r>
          </w:p>
        </w:tc>
        <w:tc>
          <w:tcPr>
            <w:tcW w:type="dxa" w:w="1728"/>
          </w:tcPr>
          <w:p>
            <w:r>
              <w:t>3 978,00</w:t>
            </w:r>
          </w:p>
        </w:tc>
        <w:tc>
          <w:tcPr>
            <w:tcW w:type="dxa" w:w="1728"/>
          </w:tcPr>
          <w:p>
            <w:r>
              <w:t>19 890,00</w:t>
            </w:r>
          </w:p>
        </w:tc>
      </w:tr>
    </w:tbl>
    <w:p>
      <w:pPr>
        <w:jc w:val="right"/>
      </w:pPr>
      <w:r>
        <w:rPr>
          <w:b/>
        </w:rPr>
        <w:t>ATT BETALA: 19 890,00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