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AI-strategi och AI-policy</w:t>
      </w:r>
    </w:p>
    <w:p>
      <w:r>
        <w:rPr>
          <w:b/>
        </w:rPr>
        <w:t xml:space="preserve">Datum: </w:t>
      </w:r>
      <w:r>
        <w:rPr>
          <w:b w:val="0"/>
        </w:rPr>
        <w:t>2026-01-30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DOC-MGMT-008</w:t>
      </w:r>
    </w:p>
    <w:p>
      <w:r>
        <w:rPr>
          <w:b w:val="0"/>
          <w:i w:val="0"/>
        </w:rPr>
      </w:r>
    </w:p>
    <w:p>
      <w:r>
        <w:rPr>
          <w:b/>
          <w:i w:val="0"/>
        </w:rPr>
        <w:t>1. AI-initiativ</w:t>
      </w:r>
    </w:p>
    <w:p>
      <w:r>
        <w:rPr>
          <w:b w:val="0"/>
          <w:i w:val="0"/>
        </w:rPr>
        <w:t>Daniel Nyström presenterade förslag till internt AI-initiativ (ND-Intern AI).</w:t>
      </w:r>
    </w:p>
    <w:p>
      <w:r>
        <w:rPr>
          <w:b w:val="0"/>
          <w:i w:val="0"/>
        </w:rPr>
        <w:t>Beslut: Initiativet startas med budget 1,2 MSEK för 2026. Daniel är samordnare.</w:t>
      </w:r>
    </w:p>
    <w:p>
      <w:r>
        <w:rPr>
          <w:b w:val="0"/>
          <w:i w:val="0"/>
        </w:rPr>
        <w:t>Beslut: AI-policyn (DOC-POL-004) fastställs och gäller fr.o.m. 2026-02-01: källhänvisningskrav, mänsklig granskning, loggning och förbud mot känslig data i öppna modeller.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Verktyg</w:t>
      </w:r>
    </w:p>
    <w:p>
      <w:r>
        <w:rPr>
          <w:b w:val="0"/>
          <w:i w:val="0"/>
        </w:rPr>
        <w:t>Modellfabriken AB (API) och Analytics Cloud Inc godkänns som verktyg. Publika konsumenttjänster förbjuds för bolagsdata.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