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Projektstatusrapport – SE-Billing</w:t>
      </w:r>
    </w:p>
    <w:p>
      <w:r>
        <w:rPr>
          <w:b/>
        </w:rPr>
        <w:t xml:space="preserve">Datum: </w:t>
      </w:r>
      <w:r>
        <w:rPr>
          <w:b w:val="0"/>
        </w:rPr>
        <w:t>2025-10-31</w:t>
      </w:r>
    </w:p>
    <w:p>
      <w:r>
        <w:rPr>
          <w:b/>
        </w:rPr>
        <w:t xml:space="preserve">Upprättad av: </w:t>
      </w:r>
      <w:r>
        <w:rPr>
          <w:b w:val="0"/>
        </w:rPr>
        <w:t>David Ekström, projektledare</w:t>
      </w:r>
    </w:p>
    <w:p>
      <w:r>
        <w:rPr>
          <w:b/>
        </w:rPr>
        <w:t xml:space="preserve">Dokument-ID: </w:t>
      </w:r>
      <w:r>
        <w:rPr>
          <w:b w:val="0"/>
        </w:rPr>
        <w:t>DOC-PRJ-001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Skogsbygdens Energi AB (PRJ-001)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Fält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GUL – försenad</w:t>
            </w:r>
          </w:p>
        </w:tc>
      </w:tr>
      <w:tr>
        <w:tc>
          <w:tcPr>
            <w:tcW w:type="dxa" w:w="4320"/>
          </w:tcPr>
          <w:p>
            <w:r>
              <w:t>Planerad slutleverans</w:t>
            </w:r>
          </w:p>
        </w:tc>
        <w:tc>
          <w:tcPr>
            <w:tcW w:type="dxa" w:w="4320"/>
          </w:tcPr>
          <w:p>
            <w:r>
              <w:t>2026-02-28 (ursprunglig plan)</w:t>
            </w:r>
          </w:p>
        </w:tc>
      </w:tr>
      <w:tr>
        <w:tc>
          <w:tcPr>
            <w:tcW w:type="dxa" w:w="4320"/>
          </w:tcPr>
          <w:p>
            <w:r>
              <w:t>Prognos slutleverans</w:t>
            </w:r>
          </w:p>
        </w:tc>
        <w:tc>
          <w:tcPr>
            <w:tcW w:type="dxa" w:w="4320"/>
          </w:tcPr>
          <w:p>
            <w:r>
              <w:t>2026-04-30</w:t>
            </w:r>
          </w:p>
        </w:tc>
      </w:tr>
      <w:tr>
        <w:tc>
          <w:tcPr>
            <w:tcW w:type="dxa" w:w="4320"/>
          </w:tcPr>
          <w:p>
            <w:r>
              <w:t>Ackumulerad försening</w:t>
            </w:r>
          </w:p>
        </w:tc>
        <w:tc>
          <w:tcPr>
            <w:tcW w:type="dxa" w:w="4320"/>
          </w:tcPr>
          <w:p>
            <w:r>
              <w:t>cirka 8 veckor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9 400 000 kr fast pris</w:t>
            </w:r>
          </w:p>
        </w:tc>
      </w:tr>
      <w:tr>
        <w:tc>
          <w:tcPr>
            <w:tcW w:type="dxa" w:w="4320"/>
          </w:tcPr>
          <w:p>
            <w:r>
              <w:t>Upparbetat</w:t>
            </w:r>
          </w:p>
        </w:tc>
        <w:tc>
          <w:tcPr>
            <w:tcW w:type="dxa" w:w="4320"/>
          </w:tcPr>
          <w:p>
            <w:r>
              <w:t>5 800 000 kr</w:t>
            </w:r>
          </w:p>
        </w:tc>
      </w:tr>
    </w:tbl>
    <w:p>
      <w:r>
        <w:rPr>
          <w:b/>
          <w:i w:val="0"/>
        </w:rPr>
        <w:t>Orsaker till försening</w:t>
      </w:r>
    </w:p>
    <w:p>
      <w:r>
        <w:rPr>
          <w:b w:val="0"/>
          <w:i w:val="0"/>
        </w:rPr>
        <w:t>Underkonsulter (Kraftkod) kom in senare än planerat; omfattningsändringar i rapportmodulen.</w:t>
      </w:r>
    </w:p>
    <w:p>
      <w:r>
        <w:rPr>
          <w:b/>
          <w:i w:val="0"/>
        </w:rPr>
        <w:t>Åtgärder</w:t>
      </w:r>
    </w:p>
    <w:p>
      <w:r>
        <w:rPr>
          <w:b w:val="0"/>
          <w:i w:val="0"/>
        </w:rPr>
        <w:t>Återhämtningsplan framtagen; extra resurser fr.o.m. november.</w:t>
      </w:r>
    </w:p>
    <w:p>
      <w:r>
        <w:rPr>
          <w:b/>
          <w:i w:val="0"/>
        </w:rPr>
        <w:t>Risker</w:t>
      </w:r>
    </w:p>
    <w:p>
      <w:r>
        <w:rPr>
          <w:b w:val="0"/>
          <w:i w:val="0"/>
        </w:rPr>
        <w:t>Fortsatta omfattningsändringar, nyckelpersonsberoende till Tomas Berg.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