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Lönerevision 2025 – beslut</w:t>
      </w:r>
    </w:p>
    <w:p>
      <w:r>
        <w:rPr>
          <w:b/>
        </w:rPr>
        <w:t xml:space="preserve">Datum: </w:t>
      </w:r>
      <w:r>
        <w:rPr>
          <w:b w:val="0"/>
        </w:rPr>
        <w:t>2025-04-03</w:t>
      </w:r>
    </w:p>
    <w:p>
      <w:r>
        <w:rPr>
          <w:b/>
        </w:rPr>
        <w:t xml:space="preserve">Upprättad av: </w:t>
      </w:r>
      <w:r>
        <w:rPr>
          <w:b w:val="0"/>
        </w:rPr>
        <w:t>P-004</w:t>
      </w:r>
    </w:p>
    <w:p>
      <w:r>
        <w:rPr>
          <w:b/>
        </w:rPr>
        <w:t xml:space="preserve">Version: </w:t>
      </w:r>
      <w:r>
        <w:rPr>
          <w:b w:val="0"/>
        </w:rPr>
        <w:t>1.0</w:t>
      </w:r>
    </w:p>
    <w:p>
      <w:r>
        <w:rPr>
          <w:b/>
        </w:rPr>
        <w:t xml:space="preserve">Dokument-ID: </w:t>
      </w:r>
      <w:r>
        <w:rPr>
          <w:b w:val="0"/>
        </w:rPr>
        <w:t>DOC-HR-004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Årlig lönerevision genomförd. Åtta medarbetare får lönehöjningar fr.o.m. 2025-04-01 enligt nedan. Höjningarna grundas på utvärderingssamtal, marknadsläget och individuell prestation.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Medarbetare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Höjning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Motivering</w:t>
            </w:r>
          </w:p>
        </w:tc>
      </w:tr>
      <w:tr>
        <w:tc>
          <w:tcPr>
            <w:tcW w:type="dxa" w:w="2880"/>
          </w:tcPr>
          <w:p>
            <w:r>
              <w:t>Fredrik Lund</w:t>
            </w:r>
          </w:p>
        </w:tc>
        <w:tc>
          <w:tcPr>
            <w:tcW w:type="dxa" w:w="2880"/>
          </w:tcPr>
          <w:p>
            <w:r>
              <w:t>3,0 %</w:t>
            </w:r>
          </w:p>
        </w:tc>
        <w:tc>
          <w:tcPr>
            <w:tcW w:type="dxa" w:w="2880"/>
          </w:tcPr>
          <w:p>
            <w:r>
              <w:t>Nyckelkompetens SE-Billing</w:t>
            </w:r>
          </w:p>
        </w:tc>
      </w:tr>
      <w:tr>
        <w:tc>
          <w:tcPr>
            <w:tcW w:type="dxa" w:w="2880"/>
          </w:tcPr>
          <w:p>
            <w:r>
              <w:t>Emma Persson</w:t>
            </w:r>
          </w:p>
        </w:tc>
        <w:tc>
          <w:tcPr>
            <w:tcW w:type="dxa" w:w="2880"/>
          </w:tcPr>
          <w:p>
            <w:r>
              <w:t>3,2 %</w:t>
            </w:r>
          </w:p>
        </w:tc>
        <w:tc>
          <w:tcPr>
            <w:tcW w:type="dxa" w:w="2880"/>
          </w:tcPr>
          <w:p>
            <w:r>
              <w:t>Stark leverans TS-uppdrag</w:t>
            </w:r>
          </w:p>
        </w:tc>
      </w:tr>
      <w:tr>
        <w:tc>
          <w:tcPr>
            <w:tcW w:type="dxa" w:w="2880"/>
          </w:tcPr>
          <w:p>
            <w:r>
              <w:t>Johan Wall</w:t>
            </w:r>
          </w:p>
        </w:tc>
        <w:tc>
          <w:tcPr>
            <w:tcW w:type="dxa" w:w="2880"/>
          </w:tcPr>
          <w:p>
            <w:r>
              <w:t>2,8 %</w:t>
            </w:r>
          </w:p>
        </w:tc>
        <w:tc>
          <w:tcPr>
            <w:tcW w:type="dxa" w:w="2880"/>
          </w:tcPr>
          <w:p>
            <w:r>
              <w:t>Ersätter senior i SE-Integration</w:t>
            </w:r>
          </w:p>
        </w:tc>
      </w:tr>
      <w:tr>
        <w:tc>
          <w:tcPr>
            <w:tcW w:type="dxa" w:w="2880"/>
          </w:tcPr>
          <w:p>
            <w:r>
              <w:t>Oskar Nilsson</w:t>
            </w:r>
          </w:p>
        </w:tc>
        <w:tc>
          <w:tcPr>
            <w:tcW w:type="dxa" w:w="2880"/>
          </w:tcPr>
          <w:p>
            <w:r>
              <w:t>3,5 %</w:t>
            </w:r>
          </w:p>
        </w:tc>
        <w:tc>
          <w:tcPr>
            <w:tcW w:type="dxa" w:w="2880"/>
          </w:tcPr>
          <w:p>
            <w:r>
              <w:t>Marknadsjustering</w:t>
            </w:r>
          </w:p>
        </w:tc>
      </w:tr>
      <w:tr>
        <w:tc>
          <w:tcPr>
            <w:tcW w:type="dxa" w:w="2880"/>
          </w:tcPr>
          <w:p>
            <w:r>
              <w:t>Viktor Lind</w:t>
            </w:r>
          </w:p>
        </w:tc>
        <w:tc>
          <w:tcPr>
            <w:tcW w:type="dxa" w:w="2880"/>
          </w:tcPr>
          <w:p>
            <w:r>
              <w:t>2,5 %</w:t>
            </w:r>
          </w:p>
        </w:tc>
        <w:tc>
          <w:tcPr>
            <w:tcW w:type="dxa" w:w="2880"/>
          </w:tcPr>
          <w:p>
            <w:r>
              <w:t>Utveckling enligt plan</w:t>
            </w:r>
          </w:p>
        </w:tc>
      </w:tr>
      <w:tr>
        <w:tc>
          <w:tcPr>
            <w:tcW w:type="dxa" w:w="2880"/>
          </w:tcPr>
          <w:p>
            <w:r>
              <w:t>Elin Andersson</w:t>
            </w:r>
          </w:p>
        </w:tc>
        <w:tc>
          <w:tcPr>
            <w:tcW w:type="dxa" w:w="2880"/>
          </w:tcPr>
          <w:p>
            <w:r>
              <w:t>2,5 %</w:t>
            </w:r>
          </w:p>
        </w:tc>
        <w:tc>
          <w:tcPr>
            <w:tcW w:type="dxa" w:w="2880"/>
          </w:tcPr>
          <w:p>
            <w:r>
              <w:t>Utveckling enligt plan</w:t>
            </w:r>
          </w:p>
        </w:tc>
      </w:tr>
      <w:tr>
        <w:tc>
          <w:tcPr>
            <w:tcW w:type="dxa" w:w="2880"/>
          </w:tcPr>
          <w:p>
            <w:r>
              <w:t>Patrik Öberg</w:t>
            </w:r>
          </w:p>
        </w:tc>
        <w:tc>
          <w:tcPr>
            <w:tcW w:type="dxa" w:w="2880"/>
          </w:tcPr>
          <w:p>
            <w:r>
              <w:t>3,0 %</w:t>
            </w:r>
          </w:p>
        </w:tc>
        <w:tc>
          <w:tcPr>
            <w:tcW w:type="dxa" w:w="2880"/>
          </w:tcPr>
          <w:p>
            <w:r>
              <w:t>DevOps-kompetens</w:t>
            </w:r>
          </w:p>
        </w:tc>
      </w:tr>
      <w:tr>
        <w:tc>
          <w:tcPr>
            <w:tcW w:type="dxa" w:w="2880"/>
          </w:tcPr>
          <w:p>
            <w:r>
              <w:t>Maria Gustavsson</w:t>
            </w:r>
          </w:p>
        </w:tc>
        <w:tc>
          <w:tcPr>
            <w:tcW w:type="dxa" w:w="2880"/>
          </w:tcPr>
          <w:p>
            <w:r>
              <w:t>2,8 %</w:t>
            </w:r>
          </w:p>
        </w:tc>
        <w:tc>
          <w:tcPr>
            <w:tcW w:type="dxa" w:w="2880"/>
          </w:tcPr>
          <w:p>
            <w:r>
              <w:t>Testledning PF och SU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