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Blixt &amp; Båge Byrå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SIN-2024-0024</w:t>
      </w:r>
    </w:p>
    <w:p>
      <w:r>
        <w:rPr>
          <w:b/>
        </w:rPr>
        <w:t xml:space="preserve">Fakturadatum: </w:t>
      </w:r>
      <w:r>
        <w:rPr>
          <w:b w:val="0"/>
        </w:rPr>
        <w:t>2024-10-11</w:t>
      </w:r>
    </w:p>
    <w:p>
      <w:r>
        <w:rPr>
          <w:b/>
        </w:rPr>
        <w:t xml:space="preserve">Förfallodatum: </w:t>
      </w:r>
      <w:r>
        <w:rPr>
          <w:b w:val="0"/>
        </w:rPr>
        <w:t>2024-11-10</w:t>
      </w:r>
    </w:p>
    <w:p>
      <w:r>
        <w:rPr>
          <w:b/>
        </w:rPr>
        <w:t xml:space="preserve">Avser: </w:t>
      </w:r>
      <w:r>
        <w:rPr>
          <w:b w:val="0"/>
        </w:rPr>
        <w:t>Marknadsföring löpande</w:t>
      </w:r>
    </w:p>
    <w:p>
      <w:r>
        <w:rPr>
          <w:b/>
        </w:rPr>
        <w:t xml:space="preserve">Konto: </w:t>
      </w:r>
      <w:r>
        <w:rPr>
          <w:b w:val="0"/>
        </w:rPr>
        <w:t>5910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Marknadsföring löpande</w:t>
            </w:r>
          </w:p>
        </w:tc>
        <w:tc>
          <w:tcPr>
            <w:tcW w:type="dxa" w:w="2160"/>
          </w:tcPr>
          <w:p>
            <w:r>
              <w:t>35 000,00</w:t>
            </w:r>
          </w:p>
        </w:tc>
        <w:tc>
          <w:tcPr>
            <w:tcW w:type="dxa" w:w="2160"/>
          </w:tcPr>
          <w:p>
            <w:r>
              <w:t>8 750,00</w:t>
            </w:r>
          </w:p>
        </w:tc>
        <w:tc>
          <w:tcPr>
            <w:tcW w:type="dxa" w:w="2160"/>
          </w:tcPr>
          <w:p>
            <w:r>
              <w:t>43 750,00</w:t>
            </w:r>
          </w:p>
        </w:tc>
      </w:tr>
    </w:tbl>
    <w:p>
      <w:pPr>
        <w:jc w:val="right"/>
      </w:pPr>
      <w:r>
        <w:rPr>
          <w:b/>
        </w:rPr>
        <w:t>ATT BETALA: 43 750,00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