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Blixt &amp; Båge Byrå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SIN-2026-0183</w:t>
      </w:r>
    </w:p>
    <w:p>
      <w:r>
        <w:rPr>
          <w:b/>
        </w:rPr>
        <w:t xml:space="preserve">Fakturadatum: </w:t>
      </w:r>
      <w:r>
        <w:rPr>
          <w:b w:val="0"/>
        </w:rPr>
        <w:t>2026-05-15</w:t>
      </w:r>
    </w:p>
    <w:p>
      <w:r>
        <w:rPr>
          <w:b/>
        </w:rPr>
        <w:t xml:space="preserve">Förfallodatum: </w:t>
      </w:r>
      <w:r>
        <w:rPr>
          <w:b w:val="0"/>
        </w:rPr>
        <w:t>2026-06-14</w:t>
      </w:r>
    </w:p>
    <w:p>
      <w:r>
        <w:rPr>
          <w:b/>
        </w:rPr>
        <w:t xml:space="preserve">Avser: </w:t>
      </w:r>
      <w:r>
        <w:rPr>
          <w:b w:val="0"/>
        </w:rPr>
        <w:t>Rekryteringskampanj</w:t>
      </w:r>
    </w:p>
    <w:p>
      <w:r>
        <w:rPr>
          <w:b/>
        </w:rPr>
        <w:t xml:space="preserve">Konto: </w:t>
      </w:r>
      <w:r>
        <w:rPr>
          <w:b w:val="0"/>
        </w:rPr>
        <w:t>5910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Rekryteringskampanj</w:t>
            </w:r>
          </w:p>
        </w:tc>
        <w:tc>
          <w:tcPr>
            <w:tcW w:type="dxa" w:w="2160"/>
          </w:tcPr>
          <w:p>
            <w:r>
              <w:t>45 000,00</w:t>
            </w:r>
          </w:p>
        </w:tc>
        <w:tc>
          <w:tcPr>
            <w:tcW w:type="dxa" w:w="2160"/>
          </w:tcPr>
          <w:p>
            <w:r>
              <w:t>11 250,00</w:t>
            </w:r>
          </w:p>
        </w:tc>
        <w:tc>
          <w:tcPr>
            <w:tcW w:type="dxa" w:w="2160"/>
          </w:tcPr>
          <w:p>
            <w:r>
              <w:t>56 250,00</w:t>
            </w:r>
          </w:p>
        </w:tc>
      </w:tr>
    </w:tbl>
    <w:p>
      <w:pPr>
        <w:jc w:val="right"/>
      </w:pPr>
      <w:r>
        <w:rPr>
          <w:b/>
        </w:rPr>
        <w:t>ATT BETALA: 56 250,00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