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Vakthuset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SIN-2026-0238</w:t>
      </w:r>
    </w:p>
    <w:p>
      <w:r>
        <w:rPr>
          <w:b/>
        </w:rPr>
        <w:t xml:space="preserve">Fakturadatum: </w:t>
      </w:r>
      <w:r>
        <w:rPr>
          <w:b w:val="0"/>
        </w:rPr>
        <w:t>2026-07-21</w:t>
      </w:r>
    </w:p>
    <w:p>
      <w:r>
        <w:rPr>
          <w:b/>
        </w:rPr>
        <w:t xml:space="preserve">Förfallodatum: </w:t>
      </w:r>
      <w:r>
        <w:rPr>
          <w:b w:val="0"/>
        </w:rPr>
        <w:t>2026-08-20</w:t>
      </w:r>
    </w:p>
    <w:p>
      <w:r>
        <w:rPr>
          <w:b/>
        </w:rPr>
        <w:t xml:space="preserve">Avser: </w:t>
      </w:r>
      <w:r>
        <w:rPr>
          <w:b w:val="0"/>
        </w:rPr>
        <w:t>Monitoring Vakthuset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Monitoring Vakthuset</w:t>
            </w:r>
          </w:p>
        </w:tc>
        <w:tc>
          <w:tcPr>
            <w:tcW w:type="dxa" w:w="2160"/>
          </w:tcPr>
          <w:p>
            <w:r>
              <w:t>6 800,00</w:t>
            </w:r>
          </w:p>
        </w:tc>
        <w:tc>
          <w:tcPr>
            <w:tcW w:type="dxa" w:w="2160"/>
          </w:tcPr>
          <w:p>
            <w:r>
              <w:t>1 700,00</w:t>
            </w:r>
          </w:p>
        </w:tc>
        <w:tc>
          <w:tcPr>
            <w:tcW w:type="dxa" w:w="2160"/>
          </w:tcPr>
          <w:p>
            <w:r>
              <w:t>8 500,00</w:t>
            </w:r>
          </w:p>
        </w:tc>
      </w:tr>
    </w:tbl>
    <w:p>
      <w:pPr>
        <w:jc w:val="right"/>
      </w:pPr>
      <w:r>
        <w:rPr>
          <w:b/>
        </w:rPr>
        <w:t>ATT BETALA: 8 500,00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