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INV-2024-0013-IB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40 000,00</w:t>
            </w:r>
          </w:p>
        </w:tc>
        <w:tc>
          <w:tcPr>
            <w:tcW w:type="dxa" w:w="1728"/>
          </w:tcPr>
          <w:p>
            <w:r>
              <w:t>10 000,00</w:t>
            </w:r>
          </w:p>
        </w:tc>
        <w:tc>
          <w:tcPr>
            <w:tcW w:type="dxa" w:w="1728"/>
          </w:tcPr>
          <w:p>
            <w:r>
              <w:t>50 000,00</w:t>
            </w:r>
          </w:p>
        </w:tc>
      </w:tr>
    </w:tbl>
    <w:p>
      <w:pPr>
        <w:jc w:val="right"/>
      </w:pPr>
      <w:r>
        <w:rPr>
          <w:b/>
        </w:rPr>
        <w:t>ATT BETALA: 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