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INV-2025-0039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Aftonrodnans Restauranger AB</w:t>
      </w:r>
    </w:p>
    <w:p>
      <w:r>
        <w:rPr>
          <w:b w:val="0"/>
          <w:i w:val="0"/>
        </w:rPr>
        <w:t xml:space="preserve">Projekt: P-2425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(82.7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83 527,00</w:t>
            </w:r>
          </w:p>
        </w:tc>
        <w:tc>
          <w:tcPr>
            <w:tcW w:type="dxa" w:w="1728"/>
          </w:tcPr>
          <w:p>
            <w:r>
              <w:t>20 881,75</w:t>
            </w:r>
          </w:p>
        </w:tc>
        <w:tc>
          <w:tcPr>
            <w:tcW w:type="dxa" w:w="1728"/>
          </w:tcPr>
          <w:p>
            <w:r>
              <w:t>104 408,75</w:t>
            </w:r>
          </w:p>
        </w:tc>
      </w:tr>
    </w:tbl>
    <w:p>
      <w:pPr>
        <w:jc w:val="right"/>
      </w:pPr>
      <w:r>
        <w:rPr>
          <w:b/>
        </w:rPr>
        <w:t>ATT BETALA: 104 408,75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