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Projektstatusrapport – SU-Produktionssystem</w:t>
      </w:r>
    </w:p>
    <w:p>
      <w:r>
        <w:rPr>
          <w:b/>
        </w:rPr>
        <w:t xml:space="preserve">Datum: </w:t>
      </w:r>
      <w:r>
        <w:rPr>
          <w:b w:val="0"/>
        </w:rPr>
        <w:t>2026-09-30</w:t>
      </w:r>
    </w:p>
    <w:p>
      <w:r>
        <w:rPr>
          <w:b/>
        </w:rPr>
        <w:t xml:space="preserve">Upprättad av: </w:t>
      </w:r>
      <w:r>
        <w:rPr>
          <w:b w:val="0"/>
        </w:rPr>
        <w:t>Karin Olsson, projektledare</w:t>
      </w:r>
    </w:p>
    <w:p>
      <w:r>
        <w:rPr>
          <w:b/>
        </w:rPr>
        <w:t xml:space="preserve">Dokument-ID: </w:t>
      </w:r>
      <w:r>
        <w:rPr>
          <w:b w:val="0"/>
        </w:rPr>
        <w:t>DOC-PRJ-008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Sundbygdens Varv AB (PRJ-029)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Fält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Värde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GUL</w:t>
            </w:r>
          </w:p>
        </w:tc>
      </w:tr>
      <w:tr>
        <w:tc>
          <w:tcPr>
            <w:tcW w:type="dxa" w:w="4320"/>
          </w:tcPr>
          <w:p>
            <w:r>
              <w:t>Planerad slutleverans</w:t>
            </w:r>
          </w:p>
        </w:tc>
        <w:tc>
          <w:tcPr>
            <w:tcW w:type="dxa" w:w="4320"/>
          </w:tcPr>
          <w:p>
            <w:r>
              <w:t>2026-11-30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1 950 000 kr fast pris</w:t>
            </w:r>
          </w:p>
        </w:tc>
      </w:tr>
      <w:tr>
        <w:tc>
          <w:tcPr>
            <w:tcW w:type="dxa" w:w="4320"/>
          </w:tcPr>
          <w:p>
            <w:r>
              <w:t>Fakturerat t.o.m. september</w:t>
            </w:r>
          </w:p>
        </w:tc>
        <w:tc>
          <w:tcPr>
            <w:tcW w:type="dxa" w:w="4320"/>
          </w:tcPr>
          <w:p>
            <w:r>
              <w:t>1 600 000 kr</w:t>
            </w:r>
          </w:p>
        </w:tc>
      </w:tr>
      <w:tr>
        <w:tc>
          <w:tcPr>
            <w:tcW w:type="dxa" w:w="4320"/>
          </w:tcPr>
          <w:p>
            <w:r>
              <w:t>Återstår att fakturera</w:t>
            </w:r>
          </w:p>
        </w:tc>
        <w:tc>
          <w:tcPr>
            <w:tcW w:type="dxa" w:w="4320"/>
          </w:tcPr>
          <w:p>
            <w:r>
              <w:t>350 000 kr (plan november 2026)</w:t>
            </w:r>
          </w:p>
        </w:tc>
      </w:tr>
    </w:tbl>
    <w:p>
      <w:r>
        <w:rPr>
          <w:b/>
          <w:i w:val="0"/>
        </w:rPr>
        <w:t>Lägesbild</w:t>
      </w:r>
    </w:p>
    <w:p>
      <w:r>
        <w:rPr>
          <w:b w:val="0"/>
          <w:i w:val="0"/>
        </w:rPr>
        <w:t>Utvecklingen klar till 90 %; kundens driftsättningsmiljö försenad med två veckor.</w:t>
      </w:r>
    </w:p>
    <w:p>
      <w:r>
        <w:rPr>
          <w:b/>
          <w:i w:val="0"/>
        </w:rPr>
        <w:t>Risker</w:t>
      </w:r>
    </w:p>
    <w:p>
      <w:r>
        <w:rPr>
          <w:b w:val="0"/>
          <w:i w:val="0"/>
        </w:rPr>
        <w:t>Vite vid försening (1 %/vecka, tak 10 %). Källkodsdepå: avtal med depåhållare klart, deponering sker 2026-10-15.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