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Säkerhetsbedömning av leverantör – Analytics Cloud Inc (USA)</w:t>
      </w:r>
    </w:p>
    <w:p>
      <w:r>
        <w:rPr>
          <w:b/>
        </w:rPr>
        <w:t xml:space="preserve">Datum: </w:t>
      </w:r>
      <w:r>
        <w:rPr>
          <w:b w:val="0"/>
        </w:rPr>
        <w:t>2025-04-28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Dokument-ID: </w:t>
      </w:r>
      <w:r>
        <w:rPr>
          <w:b w:val="0"/>
        </w:rPr>
        <w:t>DOC-SUP-006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Område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Bedömning</w:t>
            </w:r>
          </w:p>
        </w:tc>
      </w:tr>
      <w:tr>
        <w:tc>
          <w:tcPr>
            <w:tcW w:type="dxa" w:w="4320"/>
          </w:tcPr>
          <w:p>
            <w:r>
              <w:t>Analysmolntjänst</w:t>
            </w:r>
          </w:p>
        </w:tc>
        <w:tc>
          <w:tcPr>
            <w:tcW w:type="dxa" w:w="4320"/>
          </w:tcPr>
          <w:p>
            <w:r>
              <w:t>Personuppgifter överförs utanför EU/EES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Fynd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Kommentar</w:t>
            </w:r>
          </w:p>
        </w:tc>
      </w:tr>
      <w:tr>
        <w:tc>
          <w:tcPr>
            <w:tcW w:type="dxa" w:w="4320"/>
          </w:tcPr>
          <w:p>
            <w:r>
              <w:t>Tredjelandsöverföring</w:t>
            </w:r>
          </w:p>
        </w:tc>
        <w:tc>
          <w:tcPr>
            <w:tcW w:type="dxa" w:w="4320"/>
          </w:tcPr>
          <w:p>
            <w:r>
              <w:t>SCC tecknade 2025-05-01</w:t>
            </w:r>
          </w:p>
        </w:tc>
      </w:tr>
      <w:tr>
        <w:tc>
          <w:tcPr>
            <w:tcW w:type="dxa" w:w="4320"/>
          </w:tcPr>
          <w:p>
            <w:r>
              <w:t>Begränsning</w:t>
            </w:r>
          </w:p>
        </w:tc>
        <w:tc>
          <w:tcPr>
            <w:tcW w:type="dxa" w:w="4320"/>
          </w:tcPr>
          <w:p>
            <w:r>
              <w:t>Känsliga personuppgifter får inte behandlas i tjänsten</w:t>
            </w:r>
          </w:p>
        </w:tc>
      </w:tr>
      <w:tr>
        <w:tc>
          <w:tcPr>
            <w:tcW w:type="dxa" w:w="4320"/>
          </w:tcPr>
          <w:p>
            <w:r>
              <w:t>Risknivå</w:t>
            </w:r>
          </w:p>
        </w:tc>
        <w:tc>
          <w:tcPr>
            <w:tcW w:type="dxa" w:w="4320"/>
          </w:tcPr>
          <w:p>
            <w:r>
              <w:t>Medel – godkänd med begränsning</w:t>
            </w:r>
          </w:p>
        </w:tc>
      </w:tr>
    </w:tbl>
    <w:p>
      <w:r>
        <w:rPr>
          <w:b/>
        </w:rPr>
        <w:t xml:space="preserve">Beslut: </w:t>
      </w:r>
      <w:r>
        <w:rPr>
          <w:b w:val="0"/>
        </w:rPr>
        <w:t>Godkänd med begränsning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