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Säkerhetsbedömning av leverantör – Designsuiten AB</w:t>
      </w:r>
    </w:p>
    <w:p>
      <w:r>
        <w:rPr>
          <w:b/>
        </w:rPr>
        <w:t xml:space="preserve">Datum: </w:t>
      </w:r>
      <w:r>
        <w:rPr>
          <w:b w:val="0"/>
        </w:rPr>
        <w:t>2022-06-20</w:t>
      </w:r>
    </w:p>
    <w:p>
      <w:r>
        <w:rPr>
          <w:b/>
        </w:rPr>
        <w:t xml:space="preserve">Upprättad av: </w:t>
      </w:r>
      <w:r>
        <w:rPr>
          <w:b w:val="0"/>
        </w:rPr>
        <w:t>Jonas Sandberg, CTO</w:t>
      </w:r>
    </w:p>
    <w:p>
      <w:r>
        <w:rPr>
          <w:b/>
        </w:rPr>
        <w:t xml:space="preserve">Dokument-ID: </w:t>
      </w:r>
      <w:r>
        <w:rPr>
          <w:b w:val="0"/>
        </w:rPr>
        <w:t>DOC-SUP-003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Område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Bedömning</w:t>
            </w:r>
          </w:p>
        </w:tc>
      </w:tr>
      <w:tr>
        <w:tc>
          <w:tcPr>
            <w:tcW w:type="dxa" w:w="4320"/>
          </w:tcPr>
          <w:p>
            <w:r>
              <w:t>Designverktyg</w:t>
            </w:r>
          </w:p>
        </w:tc>
        <w:tc>
          <w:tcPr>
            <w:tcW w:type="dxa" w:w="4320"/>
          </w:tcPr>
          <w:p>
            <w:r>
              <w:t>SaaS, 18 licenser varav 9 används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Fynd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Kommentar</w:t>
            </w:r>
          </w:p>
        </w:tc>
      </w:tr>
      <w:tr>
        <w:tc>
          <w:tcPr>
            <w:tcW w:type="dxa" w:w="4320"/>
          </w:tcPr>
          <w:p>
            <w:r>
              <w:t>Dataskydd</w:t>
            </w:r>
          </w:p>
        </w:tc>
        <w:tc>
          <w:tcPr>
            <w:tcW w:type="dxa" w:w="4320"/>
          </w:tcPr>
          <w:p>
            <w:r>
              <w:t>DPA tecknat 2022-05-01</w:t>
            </w:r>
          </w:p>
        </w:tc>
      </w:tr>
      <w:tr>
        <w:tc>
          <w:tcPr>
            <w:tcW w:type="dxa" w:w="4320"/>
          </w:tcPr>
          <w:p>
            <w:r>
              <w:t>Notering</w:t>
            </w:r>
          </w:p>
        </w:tc>
        <w:tc>
          <w:tcPr>
            <w:tcW w:type="dxa" w:w="4320"/>
          </w:tcPr>
          <w:p>
            <w:r>
              <w:t>Låg utnyttjandegrad – ses över i licensinventeringen</w:t>
            </w:r>
          </w:p>
        </w:tc>
      </w:tr>
      <w:tr>
        <w:tc>
          <w:tcPr>
            <w:tcW w:type="dxa" w:w="4320"/>
          </w:tcPr>
          <w:p>
            <w:r>
              <w:t>Risknivå</w:t>
            </w:r>
          </w:p>
        </w:tc>
        <w:tc>
          <w:tcPr>
            <w:tcW w:type="dxa" w:w="4320"/>
          </w:tcPr>
          <w:p>
            <w:r>
              <w:t>Låg – godkänd</w:t>
            </w:r>
          </w:p>
        </w:tc>
      </w:tr>
    </w:tbl>
    <w:p>
      <w:r>
        <w:rPr>
          <w:b/>
        </w:rPr>
        <w:t xml:space="preserve">Beslut: </w:t>
      </w:r>
      <w:r>
        <w:rPr>
          <w:b w:val="0"/>
        </w:rPr>
        <w:t>Godkänd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