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Sundbygdens Varv AB (nedan "Part B"). Parterna benämns gemensamt "Parterna".</w:t>
      </w:r>
    </w:p>
    <w:p>
      <w:r>
        <w:rPr>
          <w:b w:val="0"/>
          <w:i w:val="0"/>
        </w:rPr>
        <w:t>Avtalsdatum: 01.09.2024</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Ogiltighet: Skulle någon bestämmelse i avtalet vara eller bli ogiltig, påverkar det inte övriga bestämmelsers giltighet. Parterna ska i sådant fall ersätta bestämmelsen med en giltig bestämmelse som så nära som möjligt motsvarar parternas ursprungliga avsikt.</w:t>
      </w:r>
    </w:p>
    <w:p>
      <w:r>
        <w:rPr>
          <w:b w:val="0"/>
          <w:i w:val="0"/>
        </w:rPr>
        <w:t>Efterlevnad av lag: Vardera parten ska vid fullgörandet av avtalet följa vid var tid tillämpliga lagar, förordningar och myndighetsföreskrifter.</w:t>
      </w:r>
    </w:p>
    <w:p>
      <w:r>
        <w:rPr>
          <w:b w:val="0"/>
          <w:i w:val="0"/>
        </w:rPr>
        <w:t>Tredje parts rättigheter: Avtalet ger inte tredje man några rättigheter som kan göras gällande mot någon av parterna.</w:t>
      </w:r>
    </w:p>
    <w:p>
      <w:r>
        <w:rPr>
          <w:b w:val="0"/>
          <w:i w:val="0"/>
        </w:rPr>
        <w:t>Sekretess: Vardera parten ska hemlighålla information om motpartens verksamhet som parten får del av med anledning av detta avtal och som är av konfidentiell natur.</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Sundbygdens Varv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